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0C2" w:rsidRPr="005454F8" w:rsidRDefault="007B70C2" w:rsidP="005454F8">
      <w:pPr>
        <w:spacing w:line="360" w:lineRule="auto"/>
        <w:jc w:val="both"/>
        <w:rPr>
          <w:rFonts w:ascii="Palatino Linotype" w:hAnsi="Palatino Linotype" w:cs="Arial"/>
          <w:b/>
          <w:lang w:eastAsia="es-MX"/>
        </w:rPr>
      </w:pPr>
      <w:r w:rsidRPr="005454F8">
        <w:rPr>
          <w:rFonts w:ascii="Palatino Linotype" w:hAnsi="Palatino Linotype" w:cs="Arial"/>
          <w:b/>
        </w:rPr>
        <w:t xml:space="preserve">VOTO DISIDENTE DEL COMISIONADO JOSÉ GUADALUPE LUNA HERNÁNDEZ EN </w:t>
      </w:r>
      <w:r w:rsidR="00744140">
        <w:rPr>
          <w:rFonts w:ascii="Palatino Linotype" w:hAnsi="Palatino Linotype" w:cs="Arial"/>
          <w:b/>
        </w:rPr>
        <w:t>LOS</w:t>
      </w:r>
      <w:r w:rsidRPr="005454F8">
        <w:rPr>
          <w:rFonts w:ascii="Palatino Linotype" w:hAnsi="Palatino Linotype" w:cs="Arial"/>
          <w:b/>
        </w:rPr>
        <w:t xml:space="preserve"> RECURSO</w:t>
      </w:r>
      <w:r w:rsidR="00744140">
        <w:rPr>
          <w:rFonts w:ascii="Palatino Linotype" w:hAnsi="Palatino Linotype" w:cs="Arial"/>
          <w:b/>
        </w:rPr>
        <w:t>S</w:t>
      </w:r>
      <w:r w:rsidRPr="005454F8">
        <w:rPr>
          <w:rFonts w:ascii="Palatino Linotype" w:hAnsi="Palatino Linotype" w:cs="Arial"/>
          <w:b/>
        </w:rPr>
        <w:t xml:space="preserve"> DE REVISIÓN</w:t>
      </w:r>
      <w:r w:rsidR="00FC0B18" w:rsidRPr="005454F8">
        <w:rPr>
          <w:rFonts w:ascii="Palatino Linotype" w:hAnsi="Palatino Linotype" w:cs="Arial"/>
          <w:b/>
        </w:rPr>
        <w:t xml:space="preserve"> </w:t>
      </w:r>
      <w:r w:rsidR="0082349F" w:rsidRPr="005454F8">
        <w:rPr>
          <w:rFonts w:ascii="Palatino Linotype" w:hAnsi="Palatino Linotype" w:cs="Arial"/>
          <w:b/>
        </w:rPr>
        <w:t>0</w:t>
      </w:r>
      <w:r w:rsidR="00324633" w:rsidRPr="005454F8">
        <w:rPr>
          <w:rFonts w:ascii="Palatino Linotype" w:hAnsi="Palatino Linotype" w:cs="Arial"/>
          <w:b/>
          <w:lang w:eastAsia="es-MX"/>
        </w:rPr>
        <w:t>4400/INFOEM/IP/RR/2018</w:t>
      </w:r>
      <w:r w:rsidR="00344FE4">
        <w:rPr>
          <w:rFonts w:ascii="Palatino Linotype" w:hAnsi="Palatino Linotype" w:cs="Arial"/>
          <w:b/>
          <w:lang w:eastAsia="es-MX"/>
        </w:rPr>
        <w:t xml:space="preserve"> </w:t>
      </w:r>
      <w:r w:rsidR="00344FE4" w:rsidRPr="005454F8">
        <w:rPr>
          <w:rFonts w:ascii="Palatino Linotype" w:hAnsi="Palatino Linotype" w:cs="Arial"/>
          <w:b/>
          <w:bCs/>
        </w:rPr>
        <w:t>04728/INFOEM/IP/RR/2018 y 04729/INFOEM/IP/RR/2018</w:t>
      </w:r>
      <w:r w:rsidR="00744140">
        <w:rPr>
          <w:rFonts w:ascii="Palatino Linotype" w:hAnsi="Palatino Linotype" w:cs="Arial"/>
          <w:b/>
          <w:bCs/>
        </w:rPr>
        <w:t xml:space="preserve"> ACUMULADOS.</w:t>
      </w:r>
    </w:p>
    <w:p w:rsidR="007B70C2" w:rsidRPr="005454F8" w:rsidRDefault="007B70C2" w:rsidP="005454F8">
      <w:pPr>
        <w:spacing w:line="360" w:lineRule="auto"/>
        <w:ind w:left="426" w:hanging="426"/>
        <w:jc w:val="both"/>
        <w:rPr>
          <w:rFonts w:ascii="Palatino Linotype" w:hAnsi="Palatino Linotype" w:cs="Arial"/>
        </w:rPr>
      </w:pPr>
    </w:p>
    <w:p w:rsidR="007B70C2" w:rsidRPr="005454F8" w:rsidRDefault="0082349F" w:rsidP="005454F8">
      <w:pPr>
        <w:spacing w:line="360" w:lineRule="auto"/>
        <w:jc w:val="both"/>
        <w:rPr>
          <w:rFonts w:ascii="Palatino Linotype" w:hAnsi="Palatino Linotype" w:cs="Arial"/>
        </w:rPr>
      </w:pPr>
      <w:r w:rsidRPr="005454F8">
        <w:rPr>
          <w:rFonts w:ascii="Palatino Linotype" w:hAnsi="Palatino Linotype" w:cs="Arial"/>
          <w:b/>
        </w:rPr>
        <w:t>Resumen del Voto:</w:t>
      </w:r>
      <w:r w:rsidR="006F2737" w:rsidRPr="005454F8">
        <w:rPr>
          <w:rFonts w:ascii="Palatino Linotype" w:hAnsi="Palatino Linotype" w:cs="Arial"/>
        </w:rPr>
        <w:t xml:space="preserve"> En el presente voto disidente </w:t>
      </w:r>
      <w:r w:rsidR="00741350" w:rsidRPr="005454F8">
        <w:rPr>
          <w:rFonts w:ascii="Palatino Linotype" w:hAnsi="Palatino Linotype" w:cs="Arial"/>
        </w:rPr>
        <w:t>manifiesto</w:t>
      </w:r>
      <w:r w:rsidRPr="005454F8">
        <w:rPr>
          <w:rFonts w:ascii="Palatino Linotype" w:hAnsi="Palatino Linotype" w:cs="Arial"/>
        </w:rPr>
        <w:t xml:space="preserve"> </w:t>
      </w:r>
      <w:r w:rsidR="00741350" w:rsidRPr="005454F8">
        <w:rPr>
          <w:rFonts w:ascii="Palatino Linotype" w:hAnsi="Palatino Linotype" w:cs="Arial"/>
        </w:rPr>
        <w:t xml:space="preserve">que no comparto la postura adoptada por la mayoría del pleno en el sentido de la resolución, porque considero que </w:t>
      </w:r>
      <w:r w:rsidR="005454F8">
        <w:rPr>
          <w:rFonts w:ascii="Palatino Linotype" w:hAnsi="Palatino Linotype" w:cs="Arial"/>
        </w:rPr>
        <w:t>aún y cuando existió un desistimiento de las solicitudes de información, existe la posibilidad de estudiar y analizar las actuaciones contenidas en el recurso de revisión y emitir una resolución sobre el fondo de la Litis</w:t>
      </w:r>
      <w:r w:rsidR="00261654">
        <w:rPr>
          <w:rFonts w:ascii="Palatino Linotype" w:hAnsi="Palatino Linotype" w:cs="Arial"/>
        </w:rPr>
        <w:t>, toda vez que no se aprecian los elementos necesarios para poder determinar la extinción del derecho accionado.</w:t>
      </w:r>
    </w:p>
    <w:p w:rsidR="002A3A54" w:rsidRDefault="002A3A54"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Default="005454F8" w:rsidP="005454F8">
      <w:pPr>
        <w:spacing w:line="360" w:lineRule="auto"/>
        <w:ind w:left="426" w:hanging="426"/>
        <w:jc w:val="both"/>
        <w:rPr>
          <w:rFonts w:ascii="Palatino Linotype" w:hAnsi="Palatino Linotype" w:cs="Arial"/>
        </w:rPr>
      </w:pPr>
    </w:p>
    <w:p w:rsidR="005454F8" w:rsidRPr="005454F8" w:rsidRDefault="005454F8" w:rsidP="005454F8">
      <w:pPr>
        <w:spacing w:line="360" w:lineRule="auto"/>
        <w:ind w:left="426" w:hanging="426"/>
        <w:jc w:val="both"/>
        <w:rPr>
          <w:rFonts w:ascii="Palatino Linotype" w:hAnsi="Palatino Linotype" w:cs="Arial"/>
        </w:rPr>
      </w:pPr>
    </w:p>
    <w:sdt>
      <w:sdtPr>
        <w:rPr>
          <w:rFonts w:ascii="Palatino Linotype" w:eastAsia="Arial Unicode MS" w:hAnsi="Palatino Linotype" w:cs="Times New Roman"/>
          <w:color w:val="auto"/>
          <w:sz w:val="24"/>
          <w:szCs w:val="24"/>
          <w:bdr w:val="nil"/>
          <w:lang w:val="es-ES" w:eastAsia="en-US"/>
        </w:rPr>
        <w:id w:val="-1382787339"/>
        <w:docPartObj>
          <w:docPartGallery w:val="Table of Contents"/>
          <w:docPartUnique/>
        </w:docPartObj>
      </w:sdtPr>
      <w:sdtEndPr>
        <w:rPr>
          <w:b/>
          <w:bCs/>
          <w:lang w:val="es-MX"/>
        </w:rPr>
      </w:sdtEndPr>
      <w:sdtContent>
        <w:p w:rsidR="00B82DF9" w:rsidRPr="005454F8" w:rsidRDefault="00B82DF9" w:rsidP="005454F8">
          <w:pPr>
            <w:pStyle w:val="TtulodeTDC"/>
            <w:spacing w:line="360" w:lineRule="auto"/>
            <w:ind w:left="426" w:hanging="426"/>
            <w:jc w:val="center"/>
            <w:rPr>
              <w:rFonts w:ascii="Palatino Linotype" w:hAnsi="Palatino Linotype"/>
              <w:b/>
              <w:color w:val="000000" w:themeColor="text1"/>
              <w:sz w:val="24"/>
              <w:szCs w:val="24"/>
            </w:rPr>
          </w:pPr>
          <w:r w:rsidRPr="005454F8">
            <w:rPr>
              <w:rFonts w:ascii="Palatino Linotype" w:hAnsi="Palatino Linotype"/>
              <w:b/>
              <w:color w:val="000000" w:themeColor="text1"/>
              <w:sz w:val="24"/>
              <w:szCs w:val="24"/>
              <w:lang w:val="es-ES"/>
            </w:rPr>
            <w:t>Índice</w:t>
          </w:r>
        </w:p>
        <w:p w:rsidR="007A1C67" w:rsidRDefault="00B82DF9">
          <w:pPr>
            <w:pStyle w:val="TDC2"/>
            <w:tabs>
              <w:tab w:val="left" w:pos="660"/>
            </w:tabs>
            <w:rPr>
              <w:rFonts w:asciiTheme="minorHAnsi" w:eastAsiaTheme="minorEastAsia" w:hAnsiTheme="minorHAnsi" w:cstheme="minorBidi"/>
              <w:noProof/>
              <w:sz w:val="22"/>
              <w:szCs w:val="22"/>
              <w:bdr w:val="none" w:sz="0" w:space="0" w:color="auto"/>
              <w:lang w:eastAsia="es-MX"/>
            </w:rPr>
          </w:pPr>
          <w:r w:rsidRPr="005454F8">
            <w:rPr>
              <w:rFonts w:ascii="Palatino Linotype" w:hAnsi="Palatino Linotype"/>
            </w:rPr>
            <w:fldChar w:fldCharType="begin"/>
          </w:r>
          <w:r w:rsidRPr="005454F8">
            <w:rPr>
              <w:rFonts w:ascii="Palatino Linotype" w:hAnsi="Palatino Linotype"/>
            </w:rPr>
            <w:instrText xml:space="preserve"> TOC \o "1-3" \h \z \u </w:instrText>
          </w:r>
          <w:r w:rsidRPr="005454F8">
            <w:rPr>
              <w:rFonts w:ascii="Palatino Linotype" w:hAnsi="Palatino Linotype"/>
            </w:rPr>
            <w:fldChar w:fldCharType="separate"/>
          </w:r>
          <w:hyperlink w:anchor="_Toc2700374" w:history="1">
            <w:r w:rsidR="007A1C67" w:rsidRPr="00BE20D6">
              <w:rPr>
                <w:rStyle w:val="Hipervnculo"/>
                <w:rFonts w:ascii="Palatino Linotype" w:hAnsi="Palatino Linotype"/>
                <w:b/>
                <w:noProof/>
              </w:rPr>
              <w:t>I.</w:t>
            </w:r>
            <w:r w:rsidR="007A1C67">
              <w:rPr>
                <w:rFonts w:asciiTheme="minorHAnsi" w:eastAsiaTheme="minorEastAsia" w:hAnsiTheme="minorHAnsi" w:cstheme="minorBidi"/>
                <w:noProof/>
                <w:sz w:val="22"/>
                <w:szCs w:val="22"/>
                <w:bdr w:val="none" w:sz="0" w:space="0" w:color="auto"/>
                <w:lang w:eastAsia="es-MX"/>
              </w:rPr>
              <w:tab/>
            </w:r>
            <w:r w:rsidR="007A1C67" w:rsidRPr="00BE20D6">
              <w:rPr>
                <w:rStyle w:val="Hipervnculo"/>
                <w:rFonts w:ascii="Palatino Linotype" w:hAnsi="Palatino Linotype"/>
                <w:b/>
                <w:noProof/>
              </w:rPr>
              <w:t>Consideraciones generales.</w:t>
            </w:r>
            <w:r w:rsidR="007A1C67">
              <w:rPr>
                <w:noProof/>
                <w:webHidden/>
              </w:rPr>
              <w:tab/>
            </w:r>
            <w:r w:rsidR="007A1C67">
              <w:rPr>
                <w:noProof/>
                <w:webHidden/>
              </w:rPr>
              <w:fldChar w:fldCharType="begin"/>
            </w:r>
            <w:r w:rsidR="007A1C67">
              <w:rPr>
                <w:noProof/>
                <w:webHidden/>
              </w:rPr>
              <w:instrText xml:space="preserve"> PAGEREF _Toc2700374 \h </w:instrText>
            </w:r>
            <w:r w:rsidR="007A1C67">
              <w:rPr>
                <w:noProof/>
                <w:webHidden/>
              </w:rPr>
            </w:r>
            <w:r w:rsidR="007A1C67">
              <w:rPr>
                <w:noProof/>
                <w:webHidden/>
              </w:rPr>
              <w:fldChar w:fldCharType="separate"/>
            </w:r>
            <w:r w:rsidR="00744140">
              <w:rPr>
                <w:noProof/>
                <w:webHidden/>
              </w:rPr>
              <w:t>3</w:t>
            </w:r>
            <w:r w:rsidR="007A1C67">
              <w:rPr>
                <w:noProof/>
                <w:webHidden/>
              </w:rPr>
              <w:fldChar w:fldCharType="end"/>
            </w:r>
          </w:hyperlink>
        </w:p>
        <w:p w:rsidR="007A1C67" w:rsidRDefault="00ED578B">
          <w:pPr>
            <w:pStyle w:val="TDC2"/>
            <w:tabs>
              <w:tab w:val="left" w:pos="880"/>
            </w:tabs>
            <w:rPr>
              <w:rFonts w:asciiTheme="minorHAnsi" w:eastAsiaTheme="minorEastAsia" w:hAnsiTheme="minorHAnsi" w:cstheme="minorBidi"/>
              <w:noProof/>
              <w:sz w:val="22"/>
              <w:szCs w:val="22"/>
              <w:bdr w:val="none" w:sz="0" w:space="0" w:color="auto"/>
              <w:lang w:eastAsia="es-MX"/>
            </w:rPr>
          </w:pPr>
          <w:hyperlink w:anchor="_Toc2700375" w:history="1">
            <w:r w:rsidR="007A1C67" w:rsidRPr="00BE20D6">
              <w:rPr>
                <w:rStyle w:val="Hipervnculo"/>
                <w:rFonts w:ascii="Palatino Linotype" w:hAnsi="Palatino Linotype"/>
                <w:b/>
                <w:noProof/>
                <w:lang w:val="es-ES"/>
              </w:rPr>
              <w:t>II.</w:t>
            </w:r>
            <w:r w:rsidR="007A1C67">
              <w:rPr>
                <w:rFonts w:asciiTheme="minorHAnsi" w:eastAsiaTheme="minorEastAsia" w:hAnsiTheme="minorHAnsi" w:cstheme="minorBidi"/>
                <w:noProof/>
                <w:sz w:val="22"/>
                <w:szCs w:val="22"/>
                <w:bdr w:val="none" w:sz="0" w:space="0" w:color="auto"/>
                <w:lang w:eastAsia="es-MX"/>
              </w:rPr>
              <w:tab/>
            </w:r>
            <w:r w:rsidR="007A1C67" w:rsidRPr="00BE20D6">
              <w:rPr>
                <w:rStyle w:val="Hipervnculo"/>
                <w:rFonts w:ascii="Palatino Linotype" w:hAnsi="Palatino Linotype"/>
                <w:b/>
                <w:noProof/>
                <w:lang w:val="es-ES"/>
              </w:rPr>
              <w:t>De los Requerimientos.</w:t>
            </w:r>
            <w:r w:rsidR="007A1C67">
              <w:rPr>
                <w:noProof/>
                <w:webHidden/>
              </w:rPr>
              <w:tab/>
            </w:r>
            <w:r w:rsidR="007A1C67">
              <w:rPr>
                <w:noProof/>
                <w:webHidden/>
              </w:rPr>
              <w:fldChar w:fldCharType="begin"/>
            </w:r>
            <w:r w:rsidR="007A1C67">
              <w:rPr>
                <w:noProof/>
                <w:webHidden/>
              </w:rPr>
              <w:instrText xml:space="preserve"> PAGEREF _Toc2700375 \h </w:instrText>
            </w:r>
            <w:r w:rsidR="007A1C67">
              <w:rPr>
                <w:noProof/>
                <w:webHidden/>
              </w:rPr>
            </w:r>
            <w:r w:rsidR="007A1C67">
              <w:rPr>
                <w:noProof/>
                <w:webHidden/>
              </w:rPr>
              <w:fldChar w:fldCharType="separate"/>
            </w:r>
            <w:r w:rsidR="00744140">
              <w:rPr>
                <w:noProof/>
                <w:webHidden/>
              </w:rPr>
              <w:t>4</w:t>
            </w:r>
            <w:r w:rsidR="007A1C67">
              <w:rPr>
                <w:noProof/>
                <w:webHidden/>
              </w:rPr>
              <w:fldChar w:fldCharType="end"/>
            </w:r>
          </w:hyperlink>
        </w:p>
        <w:p w:rsidR="007A1C67" w:rsidRDefault="00ED578B">
          <w:pPr>
            <w:pStyle w:val="TDC2"/>
            <w:tabs>
              <w:tab w:val="left" w:pos="880"/>
            </w:tabs>
            <w:rPr>
              <w:rFonts w:asciiTheme="minorHAnsi" w:eastAsiaTheme="minorEastAsia" w:hAnsiTheme="minorHAnsi" w:cstheme="minorBidi"/>
              <w:noProof/>
              <w:sz w:val="22"/>
              <w:szCs w:val="22"/>
              <w:bdr w:val="none" w:sz="0" w:space="0" w:color="auto"/>
              <w:lang w:eastAsia="es-MX"/>
            </w:rPr>
          </w:pPr>
          <w:hyperlink w:anchor="_Toc2700376" w:history="1">
            <w:r w:rsidR="007A1C67" w:rsidRPr="00BE20D6">
              <w:rPr>
                <w:rStyle w:val="Hipervnculo"/>
                <w:rFonts w:ascii="Palatino Linotype" w:hAnsi="Palatino Linotype"/>
                <w:b/>
                <w:noProof/>
                <w:lang w:val="es-ES"/>
              </w:rPr>
              <w:t>III.</w:t>
            </w:r>
            <w:r w:rsidR="007A1C67">
              <w:rPr>
                <w:rFonts w:asciiTheme="minorHAnsi" w:eastAsiaTheme="minorEastAsia" w:hAnsiTheme="minorHAnsi" w:cstheme="minorBidi"/>
                <w:noProof/>
                <w:sz w:val="22"/>
                <w:szCs w:val="22"/>
                <w:bdr w:val="none" w:sz="0" w:space="0" w:color="auto"/>
                <w:lang w:eastAsia="es-MX"/>
              </w:rPr>
              <w:tab/>
            </w:r>
            <w:r w:rsidR="007A1C67" w:rsidRPr="00BE20D6">
              <w:rPr>
                <w:rStyle w:val="Hipervnculo"/>
                <w:rFonts w:ascii="Palatino Linotype" w:hAnsi="Palatino Linotype"/>
                <w:b/>
                <w:noProof/>
                <w:lang w:val="es-ES"/>
              </w:rPr>
              <w:t>Del procedimiento de acceso a la información.</w:t>
            </w:r>
            <w:r w:rsidR="007A1C67">
              <w:rPr>
                <w:noProof/>
                <w:webHidden/>
              </w:rPr>
              <w:tab/>
            </w:r>
            <w:r w:rsidR="007A1C67">
              <w:rPr>
                <w:noProof/>
                <w:webHidden/>
              </w:rPr>
              <w:fldChar w:fldCharType="begin"/>
            </w:r>
            <w:r w:rsidR="007A1C67">
              <w:rPr>
                <w:noProof/>
                <w:webHidden/>
              </w:rPr>
              <w:instrText xml:space="preserve"> PAGEREF _Toc2700376 \h </w:instrText>
            </w:r>
            <w:r w:rsidR="007A1C67">
              <w:rPr>
                <w:noProof/>
                <w:webHidden/>
              </w:rPr>
            </w:r>
            <w:r w:rsidR="007A1C67">
              <w:rPr>
                <w:noProof/>
                <w:webHidden/>
              </w:rPr>
              <w:fldChar w:fldCharType="separate"/>
            </w:r>
            <w:r w:rsidR="00744140">
              <w:rPr>
                <w:noProof/>
                <w:webHidden/>
              </w:rPr>
              <w:t>7</w:t>
            </w:r>
            <w:r w:rsidR="007A1C67">
              <w:rPr>
                <w:noProof/>
                <w:webHidden/>
              </w:rPr>
              <w:fldChar w:fldCharType="end"/>
            </w:r>
          </w:hyperlink>
        </w:p>
        <w:p w:rsidR="007A1C67" w:rsidRDefault="00ED578B">
          <w:pPr>
            <w:pStyle w:val="TDC2"/>
            <w:tabs>
              <w:tab w:val="left" w:pos="880"/>
            </w:tabs>
            <w:rPr>
              <w:rFonts w:asciiTheme="minorHAnsi" w:eastAsiaTheme="minorEastAsia" w:hAnsiTheme="minorHAnsi" w:cstheme="minorBidi"/>
              <w:noProof/>
              <w:sz w:val="22"/>
              <w:szCs w:val="22"/>
              <w:bdr w:val="none" w:sz="0" w:space="0" w:color="auto"/>
              <w:lang w:eastAsia="es-MX"/>
            </w:rPr>
          </w:pPr>
          <w:hyperlink w:anchor="_Toc2700377" w:history="1">
            <w:r w:rsidR="007A1C67" w:rsidRPr="00BE20D6">
              <w:rPr>
                <w:rStyle w:val="Hipervnculo"/>
                <w:rFonts w:ascii="Palatino Linotype" w:hAnsi="Palatino Linotype"/>
                <w:b/>
                <w:noProof/>
              </w:rPr>
              <w:t>IV.</w:t>
            </w:r>
            <w:r w:rsidR="007A1C67">
              <w:rPr>
                <w:rFonts w:asciiTheme="minorHAnsi" w:eastAsiaTheme="minorEastAsia" w:hAnsiTheme="minorHAnsi" w:cstheme="minorBidi"/>
                <w:noProof/>
                <w:sz w:val="22"/>
                <w:szCs w:val="22"/>
                <w:bdr w:val="none" w:sz="0" w:space="0" w:color="auto"/>
                <w:lang w:eastAsia="es-MX"/>
              </w:rPr>
              <w:tab/>
            </w:r>
            <w:r w:rsidR="007A1C67" w:rsidRPr="00BE20D6">
              <w:rPr>
                <w:rStyle w:val="Hipervnculo"/>
                <w:rFonts w:ascii="Palatino Linotype" w:hAnsi="Palatino Linotype"/>
                <w:b/>
                <w:noProof/>
              </w:rPr>
              <w:t>Del Desistimiento.</w:t>
            </w:r>
            <w:r w:rsidR="007A1C67">
              <w:rPr>
                <w:noProof/>
                <w:webHidden/>
              </w:rPr>
              <w:tab/>
            </w:r>
            <w:r w:rsidR="007A1C67">
              <w:rPr>
                <w:noProof/>
                <w:webHidden/>
              </w:rPr>
              <w:fldChar w:fldCharType="begin"/>
            </w:r>
            <w:r w:rsidR="007A1C67">
              <w:rPr>
                <w:noProof/>
                <w:webHidden/>
              </w:rPr>
              <w:instrText xml:space="preserve"> PAGEREF _Toc2700377 \h </w:instrText>
            </w:r>
            <w:r w:rsidR="007A1C67">
              <w:rPr>
                <w:noProof/>
                <w:webHidden/>
              </w:rPr>
            </w:r>
            <w:r w:rsidR="007A1C67">
              <w:rPr>
                <w:noProof/>
                <w:webHidden/>
              </w:rPr>
              <w:fldChar w:fldCharType="separate"/>
            </w:r>
            <w:r w:rsidR="00744140">
              <w:rPr>
                <w:noProof/>
                <w:webHidden/>
              </w:rPr>
              <w:t>8</w:t>
            </w:r>
            <w:r w:rsidR="007A1C67">
              <w:rPr>
                <w:noProof/>
                <w:webHidden/>
              </w:rPr>
              <w:fldChar w:fldCharType="end"/>
            </w:r>
          </w:hyperlink>
        </w:p>
        <w:p w:rsidR="007A1C67" w:rsidRDefault="00ED578B">
          <w:pPr>
            <w:pStyle w:val="TDC2"/>
            <w:tabs>
              <w:tab w:val="left" w:pos="880"/>
            </w:tabs>
            <w:rPr>
              <w:rFonts w:asciiTheme="minorHAnsi" w:eastAsiaTheme="minorEastAsia" w:hAnsiTheme="minorHAnsi" w:cstheme="minorBidi"/>
              <w:noProof/>
              <w:sz w:val="22"/>
              <w:szCs w:val="22"/>
              <w:bdr w:val="none" w:sz="0" w:space="0" w:color="auto"/>
              <w:lang w:eastAsia="es-MX"/>
            </w:rPr>
          </w:pPr>
          <w:hyperlink w:anchor="_Toc2700378" w:history="1">
            <w:r w:rsidR="007A1C67" w:rsidRPr="00BE20D6">
              <w:rPr>
                <w:rStyle w:val="Hipervnculo"/>
                <w:rFonts w:ascii="Palatino Linotype" w:eastAsia="Times New Roman" w:hAnsi="Palatino Linotype"/>
                <w:b/>
                <w:noProof/>
                <w:lang w:eastAsia="es-MX"/>
              </w:rPr>
              <w:t>III.</w:t>
            </w:r>
            <w:r w:rsidR="007A1C67">
              <w:rPr>
                <w:rFonts w:asciiTheme="minorHAnsi" w:eastAsiaTheme="minorEastAsia" w:hAnsiTheme="minorHAnsi" w:cstheme="minorBidi"/>
                <w:noProof/>
                <w:sz w:val="22"/>
                <w:szCs w:val="22"/>
                <w:bdr w:val="none" w:sz="0" w:space="0" w:color="auto"/>
                <w:lang w:eastAsia="es-MX"/>
              </w:rPr>
              <w:tab/>
            </w:r>
            <w:r w:rsidR="007A1C67" w:rsidRPr="00BE20D6">
              <w:rPr>
                <w:rStyle w:val="Hipervnculo"/>
                <w:rFonts w:ascii="Palatino Linotype" w:eastAsia="Times New Roman" w:hAnsi="Palatino Linotype"/>
                <w:b/>
                <w:noProof/>
                <w:lang w:eastAsia="es-MX"/>
              </w:rPr>
              <w:t>Conclusión.</w:t>
            </w:r>
            <w:r w:rsidR="007A1C67">
              <w:rPr>
                <w:noProof/>
                <w:webHidden/>
              </w:rPr>
              <w:tab/>
            </w:r>
            <w:r w:rsidR="007A1C67">
              <w:rPr>
                <w:noProof/>
                <w:webHidden/>
              </w:rPr>
              <w:fldChar w:fldCharType="begin"/>
            </w:r>
            <w:r w:rsidR="007A1C67">
              <w:rPr>
                <w:noProof/>
                <w:webHidden/>
              </w:rPr>
              <w:instrText xml:space="preserve"> PAGEREF _Toc2700378 \h </w:instrText>
            </w:r>
            <w:r w:rsidR="007A1C67">
              <w:rPr>
                <w:noProof/>
                <w:webHidden/>
              </w:rPr>
            </w:r>
            <w:r w:rsidR="007A1C67">
              <w:rPr>
                <w:noProof/>
                <w:webHidden/>
              </w:rPr>
              <w:fldChar w:fldCharType="separate"/>
            </w:r>
            <w:r w:rsidR="00744140">
              <w:rPr>
                <w:noProof/>
                <w:webHidden/>
              </w:rPr>
              <w:t>12</w:t>
            </w:r>
            <w:r w:rsidR="007A1C67">
              <w:rPr>
                <w:noProof/>
                <w:webHidden/>
              </w:rPr>
              <w:fldChar w:fldCharType="end"/>
            </w:r>
          </w:hyperlink>
        </w:p>
        <w:p w:rsidR="00B82DF9" w:rsidRPr="005454F8" w:rsidRDefault="00B82DF9" w:rsidP="005454F8">
          <w:pPr>
            <w:spacing w:line="360" w:lineRule="auto"/>
            <w:ind w:left="426" w:hanging="426"/>
            <w:rPr>
              <w:rFonts w:ascii="Palatino Linotype" w:hAnsi="Palatino Linotype"/>
            </w:rPr>
          </w:pPr>
          <w:r w:rsidRPr="005454F8">
            <w:rPr>
              <w:rFonts w:ascii="Palatino Linotype" w:hAnsi="Palatino Linotype"/>
              <w:b/>
              <w:bCs/>
            </w:rPr>
            <w:fldChar w:fldCharType="end"/>
          </w:r>
        </w:p>
      </w:sdtContent>
    </w:sdt>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5454F8" w:rsidRPr="005454F8" w:rsidRDefault="005454F8" w:rsidP="005454F8">
      <w:pPr>
        <w:pStyle w:val="Ttulo2"/>
        <w:numPr>
          <w:ilvl w:val="0"/>
          <w:numId w:val="32"/>
        </w:numPr>
        <w:rPr>
          <w:rFonts w:ascii="Palatino Linotype" w:hAnsi="Palatino Linotype"/>
          <w:b/>
          <w:color w:val="auto"/>
          <w:sz w:val="24"/>
        </w:rPr>
      </w:pPr>
      <w:bookmarkStart w:id="0" w:name="_Toc2700374"/>
      <w:r w:rsidRPr="005454F8">
        <w:rPr>
          <w:rFonts w:ascii="Palatino Linotype" w:hAnsi="Palatino Linotype"/>
          <w:b/>
          <w:color w:val="auto"/>
          <w:sz w:val="24"/>
        </w:rPr>
        <w:lastRenderedPageBreak/>
        <w:t>Consideraciones generales.</w:t>
      </w:r>
      <w:bookmarkEnd w:id="0"/>
      <w:r w:rsidRPr="005454F8">
        <w:rPr>
          <w:rFonts w:ascii="Palatino Linotype" w:hAnsi="Palatino Linotype"/>
          <w:b/>
          <w:color w:val="auto"/>
          <w:sz w:val="24"/>
        </w:rPr>
        <w:t xml:space="preserve"> </w:t>
      </w:r>
    </w:p>
    <w:p w:rsidR="005454F8" w:rsidRPr="005454F8" w:rsidRDefault="005454F8" w:rsidP="005454F8"/>
    <w:p w:rsidR="00324633" w:rsidRPr="005454F8" w:rsidRDefault="007B70C2" w:rsidP="005454F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426"/>
        <w:jc w:val="both"/>
        <w:rPr>
          <w:rFonts w:ascii="Palatino Linotype" w:hAnsi="Palatino Linotype" w:cs="Arial"/>
        </w:rPr>
      </w:pPr>
      <w:r w:rsidRPr="005454F8">
        <w:rPr>
          <w:rFonts w:ascii="Palatino Linotype" w:hAnsi="Palatino Linotype" w:cs="Arial"/>
        </w:rPr>
        <w:t xml:space="preserve">He concurrido con mi voto disidente de la presente resolución emitida por el Pleno del Instituto de Transparencia, Acceso a la Información Pública y Protección de Datos Personales del Estado de México y Municipios, </w:t>
      </w:r>
      <w:r w:rsidR="00324633" w:rsidRPr="005454F8">
        <w:rPr>
          <w:rFonts w:ascii="Palatino Linotype" w:hAnsi="Palatino Linotype" w:cs="Arial"/>
        </w:rPr>
        <w:t>octava</w:t>
      </w:r>
      <w:r w:rsidR="007A4E77" w:rsidRPr="005454F8">
        <w:rPr>
          <w:rFonts w:ascii="Palatino Linotype" w:hAnsi="Palatino Linotype" w:cs="Arial"/>
        </w:rPr>
        <w:t xml:space="preserve"> </w:t>
      </w:r>
      <w:r w:rsidRPr="005454F8">
        <w:rPr>
          <w:rFonts w:ascii="Palatino Linotype" w:hAnsi="Palatino Linotype" w:cs="Arial"/>
        </w:rPr>
        <w:t xml:space="preserve">sesión ordinaria </w:t>
      </w:r>
      <w:r w:rsidR="00FC0B18" w:rsidRPr="005454F8">
        <w:rPr>
          <w:rFonts w:ascii="Palatino Linotype" w:hAnsi="Palatino Linotype" w:cs="Arial"/>
        </w:rPr>
        <w:t>celebrada el día</w:t>
      </w:r>
      <w:r w:rsidR="007A4E77" w:rsidRPr="005454F8">
        <w:rPr>
          <w:rFonts w:ascii="Palatino Linotype" w:hAnsi="Palatino Linotype" w:cs="Arial"/>
        </w:rPr>
        <w:t xml:space="preserve"> </w:t>
      </w:r>
      <w:r w:rsidR="00324633" w:rsidRPr="005454F8">
        <w:rPr>
          <w:rFonts w:ascii="Palatino Linotype" w:hAnsi="Palatino Linotype" w:cs="Arial"/>
        </w:rPr>
        <w:t>veintisiete</w:t>
      </w:r>
      <w:r w:rsidR="007A4E77" w:rsidRPr="005454F8">
        <w:rPr>
          <w:rFonts w:ascii="Palatino Linotype" w:hAnsi="Palatino Linotype" w:cs="Arial"/>
        </w:rPr>
        <w:t xml:space="preserve"> (</w:t>
      </w:r>
      <w:r w:rsidR="00324633" w:rsidRPr="005454F8">
        <w:rPr>
          <w:rFonts w:ascii="Palatino Linotype" w:hAnsi="Palatino Linotype" w:cs="Arial"/>
        </w:rPr>
        <w:t>27</w:t>
      </w:r>
      <w:r w:rsidR="007A4E77" w:rsidRPr="005454F8">
        <w:rPr>
          <w:rFonts w:ascii="Palatino Linotype" w:hAnsi="Palatino Linotype" w:cs="Arial"/>
        </w:rPr>
        <w:t xml:space="preserve">) de </w:t>
      </w:r>
      <w:r w:rsidR="00324633" w:rsidRPr="005454F8">
        <w:rPr>
          <w:rFonts w:ascii="Palatino Linotype" w:hAnsi="Palatino Linotype" w:cs="Arial"/>
        </w:rPr>
        <w:t>febrero</w:t>
      </w:r>
      <w:r w:rsidRPr="005454F8">
        <w:rPr>
          <w:rFonts w:ascii="Palatino Linotype" w:hAnsi="Palatino Linotype" w:cs="Arial"/>
        </w:rPr>
        <w:t xml:space="preserve"> de dos mil dieci</w:t>
      </w:r>
      <w:r w:rsidR="00324633" w:rsidRPr="005454F8">
        <w:rPr>
          <w:rFonts w:ascii="Palatino Linotype" w:hAnsi="Palatino Linotype" w:cs="Arial"/>
        </w:rPr>
        <w:t>nueve</w:t>
      </w:r>
      <w:r w:rsidRPr="005454F8">
        <w:rPr>
          <w:rFonts w:ascii="Palatino Linotype" w:hAnsi="Palatino Linotype" w:cs="Arial"/>
        </w:rPr>
        <w:t xml:space="preserve">, en el recurso de revisión promovido </w:t>
      </w:r>
      <w:r w:rsidR="00324633" w:rsidRPr="005454F8">
        <w:rPr>
          <w:rFonts w:ascii="Palatino Linotype" w:hAnsi="Palatino Linotype" w:cs="Arial"/>
        </w:rPr>
        <w:t>en contra del Ayuntamiento de Tecámac,</w:t>
      </w:r>
      <w:r w:rsidRPr="005454F8">
        <w:rPr>
          <w:rFonts w:ascii="Palatino Linotype" w:hAnsi="Palatino Linotype" w:cs="Arial"/>
        </w:rPr>
        <w:t xml:space="preserve"> procedimiento al que se asignó el número de expediente </w:t>
      </w:r>
      <w:r w:rsidR="00324633" w:rsidRPr="005454F8">
        <w:rPr>
          <w:rFonts w:ascii="Palatino Linotype" w:hAnsi="Palatino Linotype" w:cs="Arial"/>
          <w:b/>
          <w:bCs/>
        </w:rPr>
        <w:t>04400/INFOEM/IP/RR/2018, 04728/INFOEM/IP/RR/2018 y 04729/INFOEM/IP/RR/2018.</w:t>
      </w:r>
    </w:p>
    <w:p w:rsidR="007B70C2" w:rsidRPr="005454F8" w:rsidRDefault="007B70C2"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324633" w:rsidRPr="005454F8" w:rsidRDefault="00324633" w:rsidP="005454F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426"/>
        <w:jc w:val="both"/>
        <w:rPr>
          <w:rFonts w:ascii="Palatino Linotype" w:hAnsi="Palatino Linotype" w:cs="Arial"/>
        </w:rPr>
      </w:pPr>
      <w:r w:rsidRPr="005454F8">
        <w:rPr>
          <w:rFonts w:ascii="Palatino Linotype" w:hAnsi="Palatino Linotype" w:cs="Arial"/>
        </w:rPr>
        <w:t xml:space="preserve">El sentido de la resolución puntualmente determinó </w:t>
      </w:r>
      <w:r w:rsidRPr="005454F8">
        <w:rPr>
          <w:rFonts w:ascii="Palatino Linotype" w:hAnsi="Palatino Linotype" w:cs="Arial"/>
          <w:b/>
        </w:rPr>
        <w:t>SOBRESEER</w:t>
      </w:r>
      <w:r w:rsidRPr="005454F8">
        <w:rPr>
          <w:rFonts w:ascii="Palatino Linotype" w:hAnsi="Palatino Linotype" w:cs="Arial"/>
        </w:rPr>
        <w:t xml:space="preserve"> el recurso de revisión por existir un desistimiento expreso por la parte recurrente.</w:t>
      </w:r>
      <w:r w:rsidR="007B70C2" w:rsidRPr="005454F8">
        <w:rPr>
          <w:rFonts w:ascii="Palatino Linotype" w:hAnsi="Palatino Linotype" w:cs="Arial"/>
        </w:rPr>
        <w:t xml:space="preserve"> </w:t>
      </w:r>
    </w:p>
    <w:p w:rsidR="00324633" w:rsidRPr="005454F8" w:rsidRDefault="00324633"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rPr>
      </w:pPr>
    </w:p>
    <w:p w:rsidR="00324633" w:rsidRPr="005454F8" w:rsidRDefault="00324633" w:rsidP="005454F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426"/>
        <w:jc w:val="both"/>
        <w:rPr>
          <w:rFonts w:ascii="Palatino Linotype" w:hAnsi="Palatino Linotype" w:cs="Arial"/>
        </w:rPr>
      </w:pPr>
      <w:r w:rsidRPr="005454F8">
        <w:rPr>
          <w:rFonts w:ascii="Palatino Linotype" w:hAnsi="Palatino Linotype" w:cs="Arial"/>
        </w:rPr>
        <w:t>En el presente voto disidente deseo manifestar que aún y cuando existió un desistimiento por la parte recurrente, éste fue en cuanto a la solicitud, más no así, al recurso de revisión, por lo que lo idóneo debió ser, entrar al estudio y resolver sobre el fondo del asunto.</w:t>
      </w:r>
    </w:p>
    <w:p w:rsidR="00324633" w:rsidRPr="005454F8" w:rsidRDefault="00324633" w:rsidP="005454F8">
      <w:pPr>
        <w:pStyle w:val="Prrafodelista"/>
        <w:spacing w:line="360" w:lineRule="auto"/>
        <w:ind w:left="426" w:hanging="426"/>
        <w:rPr>
          <w:rFonts w:ascii="Palatino Linotype" w:hAnsi="Palatino Linotype" w:cs="Arial"/>
        </w:rPr>
      </w:pPr>
    </w:p>
    <w:p w:rsidR="00324633" w:rsidRPr="005454F8" w:rsidRDefault="00324633" w:rsidP="005454F8">
      <w:pPr>
        <w:pStyle w:val="Prrafodelista"/>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426"/>
        <w:jc w:val="both"/>
        <w:rPr>
          <w:rFonts w:ascii="Palatino Linotype" w:hAnsi="Palatino Linotype" w:cs="Arial"/>
        </w:rPr>
      </w:pPr>
      <w:r w:rsidRPr="005454F8">
        <w:rPr>
          <w:rFonts w:ascii="Palatino Linotype" w:hAnsi="Palatino Linotype" w:cs="Arial"/>
        </w:rPr>
        <w:t xml:space="preserve">Por tal motivo y en términos de lo señalado por los artículos 14 fracción XI del Reglamento Interior del Instituto de Transparencia y Acceso a la Información Pública del Estado de México y Municipios formulo el presente voto particular. </w:t>
      </w:r>
    </w:p>
    <w:p w:rsidR="00FC0B18" w:rsidRPr="005454F8" w:rsidRDefault="00FC0B18" w:rsidP="005454F8">
      <w:pPr>
        <w:pStyle w:val="Prrafodelista"/>
        <w:spacing w:line="360" w:lineRule="auto"/>
        <w:ind w:left="426" w:hanging="426"/>
        <w:rPr>
          <w:rFonts w:ascii="Palatino Linotype" w:hAnsi="Palatino Linotype" w:cs="Arial"/>
          <w:color w:val="000000" w:themeColor="text1"/>
          <w:lang w:val="es-ES"/>
        </w:rPr>
      </w:pPr>
    </w:p>
    <w:p w:rsidR="007B70C2" w:rsidRPr="005454F8" w:rsidRDefault="00FC0B18" w:rsidP="005454F8">
      <w:pPr>
        <w:pStyle w:val="Ttulo2"/>
        <w:numPr>
          <w:ilvl w:val="0"/>
          <w:numId w:val="32"/>
        </w:numPr>
        <w:spacing w:line="360" w:lineRule="auto"/>
        <w:ind w:left="709"/>
        <w:jc w:val="both"/>
        <w:rPr>
          <w:rFonts w:ascii="Palatino Linotype" w:hAnsi="Palatino Linotype"/>
          <w:b/>
          <w:color w:val="000000" w:themeColor="text1"/>
          <w:sz w:val="24"/>
          <w:szCs w:val="24"/>
          <w:lang w:val="es-ES"/>
        </w:rPr>
      </w:pPr>
      <w:bookmarkStart w:id="1" w:name="_Toc2700375"/>
      <w:r w:rsidRPr="005454F8">
        <w:rPr>
          <w:rFonts w:ascii="Palatino Linotype" w:hAnsi="Palatino Linotype"/>
          <w:b/>
          <w:color w:val="000000" w:themeColor="text1"/>
          <w:sz w:val="24"/>
          <w:szCs w:val="24"/>
          <w:lang w:val="es-ES"/>
        </w:rPr>
        <w:lastRenderedPageBreak/>
        <w:t>De los Requerimientos</w:t>
      </w:r>
      <w:r w:rsidR="007B70C2" w:rsidRPr="005454F8">
        <w:rPr>
          <w:rFonts w:ascii="Palatino Linotype" w:hAnsi="Palatino Linotype"/>
          <w:b/>
          <w:color w:val="000000" w:themeColor="text1"/>
          <w:sz w:val="24"/>
          <w:szCs w:val="24"/>
          <w:lang w:val="es-ES"/>
        </w:rPr>
        <w:t>.</w:t>
      </w:r>
      <w:bookmarkEnd w:id="1"/>
      <w:r w:rsidR="007B70C2" w:rsidRPr="005454F8">
        <w:rPr>
          <w:rFonts w:ascii="Palatino Linotype" w:hAnsi="Palatino Linotype"/>
          <w:b/>
          <w:color w:val="000000" w:themeColor="text1"/>
          <w:sz w:val="24"/>
          <w:szCs w:val="24"/>
          <w:lang w:val="es-ES"/>
        </w:rPr>
        <w:t xml:space="preserve"> </w:t>
      </w:r>
    </w:p>
    <w:p w:rsidR="007B70C2" w:rsidRPr="005454F8" w:rsidRDefault="007B70C2" w:rsidP="005454F8">
      <w:pPr>
        <w:spacing w:line="360" w:lineRule="auto"/>
        <w:ind w:left="426" w:hanging="426"/>
        <w:jc w:val="both"/>
        <w:rPr>
          <w:rFonts w:ascii="Palatino Linotype" w:hAnsi="Palatino Linotype" w:cs="Arial"/>
          <w:color w:val="000000" w:themeColor="text1"/>
          <w:lang w:val="es-ES"/>
        </w:rPr>
      </w:pPr>
    </w:p>
    <w:p w:rsidR="00324633" w:rsidRPr="005454F8" w:rsidRDefault="00324633" w:rsidP="005454F8">
      <w:pPr>
        <w:pStyle w:val="Sinespaciado"/>
        <w:numPr>
          <w:ilvl w:val="0"/>
          <w:numId w:val="9"/>
        </w:numPr>
        <w:spacing w:line="360" w:lineRule="auto"/>
        <w:ind w:right="49" w:hanging="426"/>
        <w:jc w:val="both"/>
        <w:rPr>
          <w:rFonts w:ascii="Palatino Linotype" w:hAnsi="Palatino Linotype" w:cs="Arial"/>
          <w:sz w:val="24"/>
          <w:szCs w:val="24"/>
        </w:rPr>
      </w:pPr>
      <w:r w:rsidRPr="005454F8">
        <w:rPr>
          <w:rFonts w:ascii="Palatino Linotype" w:hAnsi="Palatino Linotype" w:cs="Arial"/>
          <w:sz w:val="24"/>
          <w:szCs w:val="24"/>
        </w:rPr>
        <w:t>Se solicitó por medio de tres solicitudes de información, lo siguiente:</w:t>
      </w:r>
    </w:p>
    <w:p w:rsidR="00324633" w:rsidRPr="005454F8" w:rsidRDefault="00324633" w:rsidP="005454F8">
      <w:pPr>
        <w:pStyle w:val="Sinespaciado"/>
        <w:spacing w:line="360" w:lineRule="auto"/>
        <w:ind w:left="426" w:right="49" w:hanging="426"/>
        <w:jc w:val="both"/>
        <w:rPr>
          <w:rFonts w:ascii="Palatino Linotype" w:hAnsi="Palatino Linotype" w:cs="Arial"/>
          <w:sz w:val="24"/>
          <w:szCs w:val="24"/>
        </w:rPr>
      </w:pPr>
      <w:r w:rsidRPr="005454F8">
        <w:rPr>
          <w:rFonts w:ascii="Palatino Linotype" w:hAnsi="Palatino Linotype" w:cs="Arial"/>
          <w:sz w:val="24"/>
          <w:szCs w:val="24"/>
        </w:rPr>
        <w:t xml:space="preserve"> </w:t>
      </w:r>
    </w:p>
    <w:p w:rsidR="00324633" w:rsidRPr="005454F8" w:rsidRDefault="00324633" w:rsidP="005454F8">
      <w:pPr>
        <w:pStyle w:val="Sinespaciado"/>
        <w:numPr>
          <w:ilvl w:val="0"/>
          <w:numId w:val="27"/>
        </w:numPr>
        <w:spacing w:line="360" w:lineRule="auto"/>
        <w:ind w:left="426" w:right="49" w:hanging="426"/>
        <w:jc w:val="both"/>
        <w:rPr>
          <w:rFonts w:ascii="Palatino Linotype" w:hAnsi="Palatino Linotype" w:cs="Arial"/>
          <w:sz w:val="24"/>
          <w:szCs w:val="24"/>
        </w:rPr>
      </w:pPr>
      <w:r w:rsidRPr="005454F8">
        <w:rPr>
          <w:rFonts w:ascii="Palatino Linotype" w:hAnsi="Palatino Linotype" w:cs="Arial"/>
          <w:sz w:val="24"/>
          <w:szCs w:val="24"/>
        </w:rPr>
        <w:t>Acta número 150 de Sesión Ordinaria de Cabildo con fecha veintitrés de mayo de dos mil dieciocho;</w:t>
      </w:r>
    </w:p>
    <w:p w:rsidR="00226F1D" w:rsidRPr="005454F8" w:rsidRDefault="00226F1D" w:rsidP="005454F8">
      <w:pPr>
        <w:pStyle w:val="Sinespaciado"/>
        <w:numPr>
          <w:ilvl w:val="0"/>
          <w:numId w:val="27"/>
        </w:numPr>
        <w:spacing w:line="360" w:lineRule="auto"/>
        <w:ind w:left="426" w:right="49" w:hanging="426"/>
        <w:jc w:val="both"/>
        <w:rPr>
          <w:rFonts w:ascii="Palatino Linotype" w:hAnsi="Palatino Linotype" w:cs="Arial"/>
          <w:sz w:val="24"/>
          <w:szCs w:val="24"/>
        </w:rPr>
      </w:pPr>
      <w:r w:rsidRPr="005454F8">
        <w:rPr>
          <w:rFonts w:ascii="Palatino Linotype" w:hAnsi="Palatino Linotype" w:cs="Arial"/>
          <w:sz w:val="24"/>
          <w:szCs w:val="24"/>
        </w:rPr>
        <w:t xml:space="preserve">Documento en donde conste la orden que dieron los Servidores públicos </w:t>
      </w:r>
      <w:r w:rsidR="00324633" w:rsidRPr="005454F8">
        <w:rPr>
          <w:rFonts w:ascii="Palatino Linotype" w:hAnsi="Palatino Linotype" w:cs="Arial"/>
          <w:sz w:val="24"/>
          <w:szCs w:val="24"/>
        </w:rPr>
        <w:t xml:space="preserve">a </w:t>
      </w:r>
      <w:r w:rsidRPr="005454F8">
        <w:rPr>
          <w:rFonts w:ascii="Palatino Linotype" w:hAnsi="Palatino Linotype" w:cs="Arial"/>
          <w:sz w:val="24"/>
          <w:szCs w:val="24"/>
        </w:rPr>
        <w:t>elementos de la policía municipal</w:t>
      </w:r>
      <w:r w:rsidR="00324633" w:rsidRPr="005454F8">
        <w:rPr>
          <w:rFonts w:ascii="Palatino Linotype" w:hAnsi="Palatino Linotype" w:cs="Arial"/>
          <w:sz w:val="24"/>
          <w:szCs w:val="24"/>
        </w:rPr>
        <w:t xml:space="preserve"> </w:t>
      </w:r>
      <w:r w:rsidRPr="005454F8">
        <w:rPr>
          <w:rFonts w:ascii="Palatino Linotype" w:hAnsi="Palatino Linotype" w:cs="Arial"/>
          <w:sz w:val="24"/>
          <w:szCs w:val="24"/>
        </w:rPr>
        <w:t>para cuidar a</w:t>
      </w:r>
      <w:r w:rsidR="00285DC6" w:rsidRPr="005454F8">
        <w:rPr>
          <w:rFonts w:ascii="Palatino Linotype" w:hAnsi="Palatino Linotype" w:cs="Arial"/>
          <w:sz w:val="24"/>
          <w:szCs w:val="24"/>
        </w:rPr>
        <w:t xml:space="preserve"> la C. </w:t>
      </w:r>
      <w:r w:rsidR="00372A62" w:rsidRPr="00372A62">
        <w:rPr>
          <w:rFonts w:ascii="Palatino Linotype" w:hAnsi="Palatino Linotype" w:cs="Arial"/>
          <w:sz w:val="24"/>
          <w:szCs w:val="24"/>
          <w:highlight w:val="black"/>
        </w:rPr>
        <w:t>------------------------------</w:t>
      </w:r>
      <w:r w:rsidRPr="005454F8">
        <w:rPr>
          <w:rFonts w:ascii="Palatino Linotype" w:hAnsi="Palatino Linotype" w:cs="Arial"/>
          <w:sz w:val="24"/>
          <w:szCs w:val="24"/>
        </w:rPr>
        <w:t>;</w:t>
      </w:r>
    </w:p>
    <w:p w:rsidR="00226F1D" w:rsidRPr="005454F8" w:rsidRDefault="00226F1D" w:rsidP="005454F8">
      <w:pPr>
        <w:pStyle w:val="Sinespaciado"/>
        <w:numPr>
          <w:ilvl w:val="0"/>
          <w:numId w:val="27"/>
        </w:numPr>
        <w:spacing w:line="360" w:lineRule="auto"/>
        <w:ind w:left="426" w:right="49" w:hanging="426"/>
        <w:jc w:val="both"/>
        <w:rPr>
          <w:rFonts w:ascii="Palatino Linotype" w:hAnsi="Palatino Linotype" w:cs="Arial"/>
          <w:sz w:val="24"/>
          <w:szCs w:val="24"/>
        </w:rPr>
      </w:pPr>
      <w:r w:rsidRPr="005454F8">
        <w:rPr>
          <w:rFonts w:ascii="Palatino Linotype" w:hAnsi="Palatino Linotype" w:cs="Arial"/>
          <w:sz w:val="24"/>
          <w:szCs w:val="24"/>
        </w:rPr>
        <w:t xml:space="preserve">Informe detallado sobre la desaparición de los dos elementos de la policía municipal que cuidaban a la </w:t>
      </w:r>
      <w:r w:rsidR="00285DC6" w:rsidRPr="005454F8">
        <w:rPr>
          <w:rFonts w:ascii="Palatino Linotype" w:hAnsi="Palatino Linotype" w:cs="Arial"/>
          <w:sz w:val="24"/>
          <w:szCs w:val="24"/>
        </w:rPr>
        <w:t xml:space="preserve">C. </w:t>
      </w:r>
      <w:r w:rsidR="00372A62" w:rsidRPr="00372A62">
        <w:rPr>
          <w:rFonts w:ascii="Palatino Linotype" w:hAnsi="Palatino Linotype" w:cs="Arial"/>
          <w:sz w:val="24"/>
          <w:szCs w:val="24"/>
          <w:highlight w:val="black"/>
        </w:rPr>
        <w:t>--------------------------------</w:t>
      </w:r>
      <w:r w:rsidRPr="005454F8">
        <w:rPr>
          <w:rFonts w:ascii="Palatino Linotype" w:hAnsi="Palatino Linotype" w:cs="Arial"/>
          <w:sz w:val="24"/>
          <w:szCs w:val="24"/>
        </w:rPr>
        <w:t>;</w:t>
      </w:r>
    </w:p>
    <w:p w:rsidR="00226F1D" w:rsidRPr="005454F8" w:rsidRDefault="00226F1D" w:rsidP="005454F8">
      <w:pPr>
        <w:pStyle w:val="Sinespaciado"/>
        <w:numPr>
          <w:ilvl w:val="0"/>
          <w:numId w:val="27"/>
        </w:numPr>
        <w:spacing w:line="360" w:lineRule="auto"/>
        <w:ind w:left="426" w:right="49" w:hanging="426"/>
        <w:jc w:val="both"/>
        <w:rPr>
          <w:rFonts w:ascii="Palatino Linotype" w:hAnsi="Palatino Linotype" w:cs="Arial"/>
          <w:sz w:val="24"/>
          <w:szCs w:val="24"/>
        </w:rPr>
      </w:pPr>
      <w:r w:rsidRPr="005454F8">
        <w:rPr>
          <w:rFonts w:ascii="Palatino Linotype" w:hAnsi="Palatino Linotype" w:cs="Arial"/>
          <w:sz w:val="24"/>
          <w:szCs w:val="24"/>
        </w:rPr>
        <w:t>Denuncia presentada ante el Ministerio Público por el asesinato de los dos elementos de seguridad pública por constituir hechos delictivos;</w:t>
      </w:r>
    </w:p>
    <w:p w:rsidR="00226F1D" w:rsidRPr="005454F8" w:rsidRDefault="00285DC6" w:rsidP="005454F8">
      <w:pPr>
        <w:pStyle w:val="Sinespaciado"/>
        <w:numPr>
          <w:ilvl w:val="0"/>
          <w:numId w:val="27"/>
        </w:numPr>
        <w:spacing w:line="360" w:lineRule="auto"/>
        <w:ind w:left="426" w:right="49" w:hanging="426"/>
        <w:jc w:val="both"/>
        <w:rPr>
          <w:rFonts w:ascii="Palatino Linotype" w:hAnsi="Palatino Linotype" w:cs="Arial"/>
          <w:sz w:val="24"/>
          <w:szCs w:val="24"/>
        </w:rPr>
      </w:pPr>
      <w:r w:rsidRPr="005454F8">
        <w:rPr>
          <w:rFonts w:ascii="Palatino Linotype" w:hAnsi="Palatino Linotype" w:cs="Arial"/>
          <w:sz w:val="24"/>
          <w:szCs w:val="24"/>
        </w:rPr>
        <w:t>Denuncias,</w:t>
      </w:r>
      <w:r w:rsidR="00226F1D" w:rsidRPr="005454F8">
        <w:rPr>
          <w:rFonts w:ascii="Palatino Linotype" w:hAnsi="Palatino Linotype" w:cs="Arial"/>
          <w:sz w:val="24"/>
          <w:szCs w:val="24"/>
        </w:rPr>
        <w:t xml:space="preserve"> trámites y números de expedientes formados en relación a la desaparición de los dos elementos de seguridad</w:t>
      </w:r>
      <w:r w:rsidRPr="005454F8">
        <w:rPr>
          <w:rFonts w:ascii="Palatino Linotype" w:hAnsi="Palatino Linotype" w:cs="Arial"/>
          <w:sz w:val="24"/>
          <w:szCs w:val="24"/>
        </w:rPr>
        <w:t>;</w:t>
      </w:r>
    </w:p>
    <w:p w:rsidR="00285DC6" w:rsidRPr="005454F8" w:rsidRDefault="00285DC6" w:rsidP="005454F8">
      <w:pPr>
        <w:pStyle w:val="Sinespaciado"/>
        <w:numPr>
          <w:ilvl w:val="0"/>
          <w:numId w:val="27"/>
        </w:numPr>
        <w:spacing w:line="360" w:lineRule="auto"/>
        <w:ind w:left="426" w:right="49" w:hanging="426"/>
        <w:jc w:val="both"/>
        <w:rPr>
          <w:rFonts w:ascii="Palatino Linotype" w:hAnsi="Palatino Linotype" w:cs="Arial"/>
          <w:sz w:val="24"/>
          <w:szCs w:val="24"/>
        </w:rPr>
      </w:pPr>
      <w:r w:rsidRPr="005454F8">
        <w:rPr>
          <w:rFonts w:ascii="Palatino Linotype" w:hAnsi="Palatino Linotype" w:cs="Arial"/>
          <w:sz w:val="24"/>
          <w:szCs w:val="24"/>
        </w:rPr>
        <w:t xml:space="preserve">Fundamento legal para cuidar en tiempos de campaña electoral a la ex candidata municipal C. </w:t>
      </w:r>
      <w:r w:rsidR="00372A62" w:rsidRPr="00372A62">
        <w:rPr>
          <w:rFonts w:ascii="Palatino Linotype" w:hAnsi="Palatino Linotype" w:cs="Arial"/>
          <w:sz w:val="24"/>
          <w:szCs w:val="24"/>
          <w:highlight w:val="black"/>
        </w:rPr>
        <w:t>--------------------------</w:t>
      </w:r>
      <w:r w:rsidRPr="005454F8">
        <w:rPr>
          <w:rFonts w:ascii="Palatino Linotype" w:hAnsi="Palatino Linotype" w:cs="Arial"/>
          <w:sz w:val="24"/>
          <w:szCs w:val="24"/>
        </w:rPr>
        <w:t>.</w:t>
      </w:r>
    </w:p>
    <w:p w:rsidR="00285DC6" w:rsidRPr="005454F8" w:rsidRDefault="00285DC6" w:rsidP="005454F8">
      <w:pPr>
        <w:pStyle w:val="Sinespaciado"/>
        <w:spacing w:line="360" w:lineRule="auto"/>
        <w:ind w:left="426" w:right="49" w:hanging="426"/>
        <w:jc w:val="both"/>
        <w:rPr>
          <w:rFonts w:ascii="Palatino Linotype" w:hAnsi="Palatino Linotype" w:cs="Arial"/>
          <w:sz w:val="24"/>
          <w:szCs w:val="24"/>
        </w:rPr>
      </w:pPr>
    </w:p>
    <w:p w:rsidR="00A67500" w:rsidRPr="005454F8" w:rsidRDefault="00A67500" w:rsidP="005454F8">
      <w:pPr>
        <w:pStyle w:val="Sinespaciado"/>
        <w:numPr>
          <w:ilvl w:val="0"/>
          <w:numId w:val="9"/>
        </w:numPr>
        <w:spacing w:line="360" w:lineRule="auto"/>
        <w:ind w:right="49" w:hanging="426"/>
        <w:jc w:val="both"/>
        <w:rPr>
          <w:rFonts w:ascii="Palatino Linotype" w:hAnsi="Palatino Linotype" w:cs="Arial"/>
          <w:i/>
          <w:szCs w:val="20"/>
        </w:rPr>
      </w:pPr>
      <w:r w:rsidRPr="005454F8">
        <w:rPr>
          <w:rFonts w:ascii="Palatino Linotype" w:hAnsi="Palatino Linotype" w:cs="Arial"/>
          <w:sz w:val="24"/>
          <w:szCs w:val="24"/>
        </w:rPr>
        <w:t xml:space="preserve">El Sujeto Obligado refirió que, la información no puede ser proporcionada porque se encuentra en averiguaciones previas o en carpetas de investigación, las cuales se encuentran activas y a cargo de la Fiscalía General de Justicia del Estado de México, asimismo remitió el acta número CI/026-E/2018 del Comité </w:t>
      </w:r>
      <w:r w:rsidRPr="005454F8">
        <w:rPr>
          <w:rFonts w:ascii="Palatino Linotype" w:hAnsi="Palatino Linotype" w:cs="Arial"/>
          <w:sz w:val="24"/>
          <w:szCs w:val="24"/>
        </w:rPr>
        <w:lastRenderedPageBreak/>
        <w:t>de Transparencia mediante la cual aprobaron la clasificación como información reservada por un periodo de 5 años la información requerida.</w:t>
      </w:r>
    </w:p>
    <w:p w:rsidR="000F1159" w:rsidRPr="005454F8" w:rsidRDefault="000F1159" w:rsidP="005454F8">
      <w:pPr>
        <w:pStyle w:val="Sinespaciado"/>
        <w:spacing w:line="360" w:lineRule="auto"/>
        <w:ind w:left="426" w:right="49" w:hanging="426"/>
        <w:jc w:val="both"/>
        <w:rPr>
          <w:rFonts w:ascii="Palatino Linotype" w:hAnsi="Palatino Linotype" w:cs="Arial"/>
          <w:i/>
          <w:szCs w:val="20"/>
        </w:rPr>
      </w:pPr>
    </w:p>
    <w:p w:rsidR="000F4B66" w:rsidRDefault="000F4B66" w:rsidP="005454F8">
      <w:pPr>
        <w:pStyle w:val="Sinespaciado"/>
        <w:numPr>
          <w:ilvl w:val="0"/>
          <w:numId w:val="9"/>
        </w:numPr>
        <w:spacing w:line="360" w:lineRule="auto"/>
        <w:ind w:right="49" w:hanging="426"/>
        <w:jc w:val="both"/>
        <w:rPr>
          <w:rFonts w:ascii="Palatino Linotype" w:hAnsi="Palatino Linotype" w:cs="Arial"/>
          <w:sz w:val="24"/>
          <w:szCs w:val="20"/>
        </w:rPr>
      </w:pPr>
      <w:r w:rsidRPr="005454F8">
        <w:rPr>
          <w:rFonts w:ascii="Palatino Linotype" w:hAnsi="Palatino Linotype" w:cs="Arial"/>
          <w:sz w:val="24"/>
          <w:szCs w:val="20"/>
        </w:rPr>
        <w:t>La inconformidad de la parte recurrente se basa en que, la respuesta está incompleta, imprecisa y amañada, además de que no se encuentra fundada ni motivada en cuanto a la reserva de la información.</w:t>
      </w:r>
    </w:p>
    <w:p w:rsidR="00261654" w:rsidRDefault="00261654" w:rsidP="00261654">
      <w:pPr>
        <w:pStyle w:val="Prrafodelista"/>
        <w:rPr>
          <w:rFonts w:ascii="Palatino Linotype" w:hAnsi="Palatino Linotype" w:cs="Arial"/>
          <w:szCs w:val="20"/>
        </w:rPr>
      </w:pPr>
    </w:p>
    <w:p w:rsidR="00261654" w:rsidRPr="005454F8" w:rsidRDefault="00261654" w:rsidP="005454F8">
      <w:pPr>
        <w:pStyle w:val="Sinespaciado"/>
        <w:numPr>
          <w:ilvl w:val="0"/>
          <w:numId w:val="9"/>
        </w:numPr>
        <w:spacing w:line="360" w:lineRule="auto"/>
        <w:ind w:right="49" w:hanging="426"/>
        <w:jc w:val="both"/>
        <w:rPr>
          <w:rFonts w:ascii="Palatino Linotype" w:hAnsi="Palatino Linotype" w:cs="Arial"/>
          <w:sz w:val="24"/>
          <w:szCs w:val="20"/>
        </w:rPr>
      </w:pPr>
      <w:r>
        <w:rPr>
          <w:rFonts w:ascii="Palatino Linotype" w:hAnsi="Palatino Linotype" w:cs="Arial"/>
          <w:sz w:val="24"/>
          <w:szCs w:val="20"/>
        </w:rPr>
        <w:t>En fecha veintiséis (26) de diciembre de dos mil dieciocho, en la etapa de manifestaciones, la parte recurrente a través de diversos documentos refirió que se encuentra inconforme con la información que proporcionó el Sujeto Obligado en todas las solicitudes.</w:t>
      </w:r>
    </w:p>
    <w:p w:rsidR="000F4B66" w:rsidRPr="005454F8" w:rsidRDefault="000F4B66" w:rsidP="005454F8">
      <w:pPr>
        <w:pStyle w:val="Prrafodelista"/>
        <w:spacing w:line="360" w:lineRule="auto"/>
        <w:ind w:left="426" w:hanging="426"/>
        <w:rPr>
          <w:rFonts w:ascii="Palatino Linotype" w:hAnsi="Palatino Linotype" w:cs="Arial"/>
          <w:szCs w:val="20"/>
        </w:rPr>
      </w:pPr>
    </w:p>
    <w:p w:rsidR="000F4B66" w:rsidRPr="005454F8" w:rsidRDefault="00261654" w:rsidP="005454F8">
      <w:pPr>
        <w:pStyle w:val="Sinespaciado"/>
        <w:numPr>
          <w:ilvl w:val="0"/>
          <w:numId w:val="9"/>
        </w:numPr>
        <w:spacing w:line="360" w:lineRule="auto"/>
        <w:ind w:right="49" w:hanging="426"/>
        <w:jc w:val="both"/>
        <w:rPr>
          <w:rFonts w:ascii="Palatino Linotype" w:hAnsi="Palatino Linotype" w:cs="Arial"/>
          <w:sz w:val="24"/>
          <w:szCs w:val="20"/>
        </w:rPr>
      </w:pPr>
      <w:r>
        <w:rPr>
          <w:rFonts w:ascii="Palatino Linotype" w:hAnsi="Palatino Linotype" w:cs="Arial"/>
          <w:sz w:val="24"/>
          <w:szCs w:val="20"/>
        </w:rPr>
        <w:t xml:space="preserve">El día veintitrés (23) de enero de dos mil diecinueve, el particular </w:t>
      </w:r>
      <w:r w:rsidR="000F4B66" w:rsidRPr="005454F8">
        <w:rPr>
          <w:rFonts w:ascii="Palatino Linotype" w:hAnsi="Palatino Linotype" w:cs="Arial"/>
          <w:sz w:val="24"/>
          <w:szCs w:val="20"/>
        </w:rPr>
        <w:t xml:space="preserve">manifestó </w:t>
      </w:r>
      <w:r w:rsidR="000F4B66" w:rsidRPr="005454F8">
        <w:rPr>
          <w:rFonts w:ascii="Palatino Linotype" w:hAnsi="Palatino Linotype" w:cs="Arial"/>
          <w:i/>
          <w:sz w:val="24"/>
          <w:szCs w:val="20"/>
        </w:rPr>
        <w:t xml:space="preserve">“desistimiento de la solicitud de información”, </w:t>
      </w:r>
      <w:r w:rsidR="007A1C67" w:rsidRPr="007A1C67">
        <w:rPr>
          <w:rFonts w:ascii="Palatino Linotype" w:hAnsi="Palatino Linotype" w:cs="Arial"/>
          <w:sz w:val="24"/>
          <w:szCs w:val="20"/>
        </w:rPr>
        <w:t>para ,mejor apreciación</w:t>
      </w:r>
      <w:r w:rsidR="007A1C67">
        <w:rPr>
          <w:rFonts w:ascii="Palatino Linotype" w:hAnsi="Palatino Linotype" w:cs="Arial"/>
          <w:i/>
          <w:sz w:val="24"/>
          <w:szCs w:val="20"/>
        </w:rPr>
        <w:t xml:space="preserve"> </w:t>
      </w:r>
      <w:r w:rsidR="000F4B66" w:rsidRPr="005454F8">
        <w:rPr>
          <w:rFonts w:ascii="Palatino Linotype" w:hAnsi="Palatino Linotype" w:cs="Arial"/>
          <w:sz w:val="24"/>
          <w:szCs w:val="20"/>
        </w:rPr>
        <w:t>inserta imagen a manera de ejemplo:</w:t>
      </w:r>
    </w:p>
    <w:p w:rsidR="000F4B66" w:rsidRPr="005454F8" w:rsidRDefault="000F4B66" w:rsidP="005454F8">
      <w:pPr>
        <w:pStyle w:val="Prrafodelista"/>
        <w:spacing w:line="360" w:lineRule="auto"/>
        <w:ind w:left="426" w:hanging="426"/>
        <w:rPr>
          <w:rFonts w:ascii="Palatino Linotype" w:hAnsi="Palatino Linotype" w:cs="Arial"/>
          <w:szCs w:val="20"/>
        </w:rPr>
      </w:pPr>
    </w:p>
    <w:p w:rsidR="000F4B66" w:rsidRPr="005454F8" w:rsidRDefault="000F4B66" w:rsidP="005454F8">
      <w:pPr>
        <w:pStyle w:val="Sinespaciado"/>
        <w:spacing w:line="360" w:lineRule="auto"/>
        <w:ind w:left="426" w:right="49" w:hanging="426"/>
        <w:jc w:val="both"/>
        <w:rPr>
          <w:rFonts w:ascii="Palatino Linotype" w:hAnsi="Palatino Linotype" w:cs="Arial"/>
          <w:sz w:val="24"/>
          <w:szCs w:val="20"/>
        </w:rPr>
      </w:pPr>
      <w:r w:rsidRPr="005454F8">
        <w:rPr>
          <w:rFonts w:ascii="Palatino Linotype" w:hAnsi="Palatino Linotype"/>
          <w:noProof/>
          <w:lang w:eastAsia="es-MX"/>
        </w:rPr>
        <w:drawing>
          <wp:inline distT="0" distB="0" distL="0" distR="0" wp14:anchorId="4D39C966" wp14:editId="3CF03229">
            <wp:extent cx="5736548" cy="11144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22" t="40133" r="41785" b="41461"/>
                    <a:stretch/>
                  </pic:blipFill>
                  <pic:spPr bwMode="auto">
                    <a:xfrm>
                      <a:off x="0" y="0"/>
                      <a:ext cx="5745169" cy="1116100"/>
                    </a:xfrm>
                    <a:prstGeom prst="rect">
                      <a:avLst/>
                    </a:prstGeom>
                    <a:ln>
                      <a:noFill/>
                    </a:ln>
                    <a:extLst>
                      <a:ext uri="{53640926-AAD7-44D8-BBD7-CCE9431645EC}">
                        <a14:shadowObscured xmlns:a14="http://schemas.microsoft.com/office/drawing/2010/main"/>
                      </a:ext>
                    </a:extLst>
                  </pic:spPr>
                </pic:pic>
              </a:graphicData>
            </a:graphic>
          </wp:inline>
        </w:drawing>
      </w:r>
    </w:p>
    <w:p w:rsidR="000F4B66" w:rsidRDefault="000F4B66" w:rsidP="005454F8">
      <w:pPr>
        <w:pStyle w:val="Prrafodelista"/>
        <w:spacing w:line="360" w:lineRule="auto"/>
        <w:ind w:left="426" w:hanging="426"/>
        <w:rPr>
          <w:rFonts w:ascii="Palatino Linotype" w:hAnsi="Palatino Linotype" w:cs="Arial"/>
          <w:szCs w:val="20"/>
        </w:rPr>
      </w:pPr>
    </w:p>
    <w:p w:rsidR="005454F8" w:rsidRDefault="005454F8" w:rsidP="005454F8">
      <w:pPr>
        <w:pStyle w:val="Prrafodelista"/>
        <w:spacing w:line="360" w:lineRule="auto"/>
        <w:ind w:left="426" w:hanging="426"/>
        <w:rPr>
          <w:rFonts w:ascii="Palatino Linotype" w:hAnsi="Palatino Linotype" w:cs="Arial"/>
          <w:szCs w:val="20"/>
        </w:rPr>
      </w:pPr>
    </w:p>
    <w:p w:rsidR="005454F8" w:rsidRDefault="005454F8" w:rsidP="005454F8">
      <w:pPr>
        <w:pStyle w:val="Prrafodelista"/>
        <w:spacing w:line="360" w:lineRule="auto"/>
        <w:ind w:left="426" w:hanging="426"/>
        <w:rPr>
          <w:rFonts w:ascii="Palatino Linotype" w:hAnsi="Palatino Linotype" w:cs="Arial"/>
          <w:szCs w:val="20"/>
        </w:rPr>
      </w:pPr>
    </w:p>
    <w:p w:rsidR="00D66330" w:rsidRPr="005454F8" w:rsidRDefault="00D66330" w:rsidP="005454F8">
      <w:pPr>
        <w:pStyle w:val="Sinespaciado"/>
        <w:numPr>
          <w:ilvl w:val="0"/>
          <w:numId w:val="9"/>
        </w:numPr>
        <w:spacing w:line="360" w:lineRule="auto"/>
        <w:ind w:right="49" w:hanging="426"/>
        <w:jc w:val="both"/>
        <w:rPr>
          <w:rFonts w:ascii="Palatino Linotype" w:hAnsi="Palatino Linotype" w:cs="Arial"/>
          <w:sz w:val="24"/>
          <w:szCs w:val="20"/>
        </w:rPr>
      </w:pPr>
      <w:r w:rsidRPr="005454F8">
        <w:rPr>
          <w:rFonts w:ascii="Palatino Linotype" w:hAnsi="Palatino Linotype" w:cs="Arial"/>
          <w:sz w:val="24"/>
          <w:szCs w:val="20"/>
        </w:rPr>
        <w:lastRenderedPageBreak/>
        <w:t>El documento en el cual se sustenta el desistimiento, contiene lo siguiente:</w:t>
      </w:r>
    </w:p>
    <w:p w:rsidR="00D66330" w:rsidRPr="005454F8" w:rsidRDefault="00D66330" w:rsidP="005454F8">
      <w:pPr>
        <w:pStyle w:val="Sinespaciado"/>
        <w:spacing w:line="360" w:lineRule="auto"/>
        <w:ind w:left="426" w:right="49" w:hanging="426"/>
        <w:jc w:val="both"/>
        <w:rPr>
          <w:rFonts w:ascii="Palatino Linotype" w:hAnsi="Palatino Linotype" w:cs="Arial"/>
          <w:sz w:val="24"/>
          <w:szCs w:val="20"/>
        </w:rPr>
      </w:pPr>
    </w:p>
    <w:p w:rsidR="00D66330" w:rsidRDefault="00372A62" w:rsidP="005454F8">
      <w:pPr>
        <w:pStyle w:val="Sinespaciado"/>
        <w:spacing w:line="360" w:lineRule="auto"/>
        <w:ind w:left="426" w:right="49" w:hanging="426"/>
        <w:jc w:val="center"/>
        <w:rPr>
          <w:rFonts w:ascii="Palatino Linotype" w:hAnsi="Palatino Linotype" w:cs="Arial"/>
          <w:sz w:val="24"/>
          <w:szCs w:val="20"/>
        </w:rPr>
      </w:pPr>
      <w:r w:rsidRPr="00372A62">
        <w:rPr>
          <w:rFonts w:ascii="Palatino Linotype" w:hAnsi="Palatino Linotype" w:cs="Arial"/>
          <w:noProof/>
          <w:sz w:val="24"/>
          <w:szCs w:val="20"/>
          <w:lang w:eastAsia="es-MX"/>
        </w:rPr>
        <w:drawing>
          <wp:inline distT="0" distB="0" distL="0" distR="0">
            <wp:extent cx="5403215" cy="560832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3215" cy="5608320"/>
                    </a:xfrm>
                    <a:prstGeom prst="rect">
                      <a:avLst/>
                    </a:prstGeom>
                    <a:noFill/>
                    <a:ln>
                      <a:noFill/>
                    </a:ln>
                  </pic:spPr>
                </pic:pic>
              </a:graphicData>
            </a:graphic>
          </wp:inline>
        </w:drawing>
      </w:r>
      <w:r w:rsidR="00D66330" w:rsidRPr="005454F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79ED6DB" wp14:editId="73A54534">
                <wp:simplePos x="0" y="0"/>
                <wp:positionH relativeFrom="column">
                  <wp:posOffset>43815</wp:posOffset>
                </wp:positionH>
                <wp:positionV relativeFrom="paragraph">
                  <wp:posOffset>3828415</wp:posOffset>
                </wp:positionV>
                <wp:extent cx="5543550" cy="81915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5543550" cy="8191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C9796" id="Rectángulo 4" o:spid="_x0000_s1026" style="position:absolute;margin-left:3.45pt;margin-top:301.45pt;width:43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" filled="f" strokecolor="red" strokeweight="3pt"/>
            </w:pict>
          </mc:Fallback>
        </mc:AlternateContent>
      </w:r>
    </w:p>
    <w:p w:rsidR="00FC3559" w:rsidRPr="005454F8" w:rsidRDefault="00E80BF1" w:rsidP="005454F8">
      <w:pPr>
        <w:pStyle w:val="Ttulo2"/>
        <w:numPr>
          <w:ilvl w:val="0"/>
          <w:numId w:val="32"/>
        </w:numPr>
        <w:spacing w:line="360" w:lineRule="auto"/>
        <w:ind w:left="426" w:hanging="426"/>
        <w:rPr>
          <w:rFonts w:ascii="Palatino Linotype" w:hAnsi="Palatino Linotype"/>
          <w:b/>
          <w:color w:val="auto"/>
          <w:sz w:val="24"/>
          <w:lang w:val="es-ES"/>
        </w:rPr>
      </w:pPr>
      <w:bookmarkStart w:id="2" w:name="_Toc2700376"/>
      <w:r w:rsidRPr="005454F8">
        <w:rPr>
          <w:rFonts w:ascii="Palatino Linotype" w:hAnsi="Palatino Linotype"/>
          <w:b/>
          <w:color w:val="auto"/>
          <w:sz w:val="24"/>
          <w:lang w:val="es-ES"/>
        </w:rPr>
        <w:t>Del procedimiento de acceso a la información.</w:t>
      </w:r>
      <w:bookmarkEnd w:id="2"/>
    </w:p>
    <w:p w:rsidR="00FC3559" w:rsidRPr="005454F8" w:rsidRDefault="00FC3559" w:rsidP="005454F8">
      <w:pPr>
        <w:spacing w:line="360" w:lineRule="auto"/>
        <w:ind w:left="426" w:hanging="426"/>
        <w:rPr>
          <w:rFonts w:ascii="Palatino Linotype" w:hAnsi="Palatino Linotype"/>
          <w:lang w:val="es-ES"/>
        </w:rPr>
      </w:pPr>
    </w:p>
    <w:p w:rsidR="002B1832" w:rsidRPr="005454F8" w:rsidRDefault="00FC3559" w:rsidP="005454F8">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360" w:line="360" w:lineRule="auto"/>
        <w:ind w:left="426" w:hanging="426"/>
        <w:jc w:val="both"/>
        <w:rPr>
          <w:rFonts w:ascii="Palatino Linotype" w:hAnsi="Palatino Linotype"/>
        </w:rPr>
      </w:pPr>
      <w:r w:rsidRPr="005454F8">
        <w:rPr>
          <w:rFonts w:ascii="Palatino Linotype" w:hAnsi="Palatino Linotype" w:cs="Arial"/>
          <w:color w:val="000000" w:themeColor="text1"/>
          <w:lang w:val="es-ES"/>
        </w:rPr>
        <w:lastRenderedPageBreak/>
        <w:t xml:space="preserve">El derecho de acceso a la información es </w:t>
      </w:r>
      <w:r w:rsidRPr="005454F8">
        <w:rPr>
          <w:rFonts w:ascii="Palatino Linotype" w:eastAsia="Times New Roman" w:hAnsi="Palatino Linotype" w:cs="Arial"/>
          <w:color w:val="000000" w:themeColor="text1"/>
          <w:lang w:eastAsia="es-MX"/>
        </w:rPr>
        <w:t xml:space="preserve">la </w:t>
      </w:r>
      <w:r w:rsidRPr="005454F8">
        <w:rPr>
          <w:rFonts w:ascii="Palatino Linotype" w:eastAsia="MS Mincho" w:hAnsi="Palatino Linotype"/>
          <w:i/>
        </w:rPr>
        <w:t>igualdad de oportunidades para recibir, buscar e impartir información</w:t>
      </w:r>
      <w:r w:rsidRPr="005454F8">
        <w:rPr>
          <w:rStyle w:val="Refdenotaalpie"/>
          <w:rFonts w:ascii="Palatino Linotype" w:eastAsia="MS Mincho" w:hAnsi="Palatino Linotype"/>
          <w:i/>
        </w:rPr>
        <w:footnoteReference w:id="1"/>
      </w:r>
      <w:r w:rsidRPr="005454F8">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54F8">
        <w:rPr>
          <w:rStyle w:val="Refdenotaalpie"/>
          <w:rFonts w:ascii="Palatino Linotype" w:eastAsia="MS Mincho" w:hAnsi="Palatino Linotype"/>
        </w:rPr>
        <w:footnoteReference w:id="2"/>
      </w:r>
      <w:r w:rsidRPr="005454F8">
        <w:rPr>
          <w:rFonts w:ascii="Palatino Linotype" w:eastAsia="MS Mincho" w:hAnsi="Palatino Linotype"/>
          <w:i/>
        </w:rPr>
        <w:t xml:space="preserve"> </w:t>
      </w:r>
      <w:r w:rsidRPr="005454F8">
        <w:rPr>
          <w:rFonts w:ascii="Palatino Linotype" w:eastAsia="MS Mincho" w:hAnsi="Palatino Linotype"/>
        </w:rPr>
        <w:t xml:space="preserve">que se constituye como una herramienta fundamental para </w:t>
      </w:r>
      <w:r w:rsidRPr="005454F8">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5454F8">
        <w:rPr>
          <w:rStyle w:val="Refdenotaalpie"/>
          <w:rFonts w:ascii="Palatino Linotype" w:eastAsia="MS Mincho" w:hAnsi="Palatino Linotype"/>
          <w:i/>
        </w:rPr>
        <w:footnoteReference w:id="3"/>
      </w:r>
      <w:r w:rsidRPr="005454F8">
        <w:rPr>
          <w:rFonts w:ascii="Palatino Linotype" w:eastAsia="MS Mincho" w:hAnsi="Palatino Linotype"/>
        </w:rPr>
        <w:t>fomentando</w:t>
      </w:r>
      <w:r w:rsidRPr="005454F8">
        <w:rPr>
          <w:rFonts w:ascii="Palatino Linotype" w:eastAsia="MS Mincho" w:hAnsi="Palatino Linotype"/>
          <w:i/>
        </w:rPr>
        <w:t xml:space="preserve"> la transparencia de las actividades estatales y</w:t>
      </w:r>
      <w:r w:rsidRPr="005454F8">
        <w:rPr>
          <w:rFonts w:ascii="Palatino Linotype" w:eastAsia="MS Mincho" w:hAnsi="Palatino Linotype"/>
        </w:rPr>
        <w:t xml:space="preserve"> promoviendo</w:t>
      </w:r>
      <w:r w:rsidRPr="005454F8">
        <w:rPr>
          <w:rFonts w:ascii="Palatino Linotype" w:eastAsia="MS Mincho" w:hAnsi="Palatino Linotype"/>
          <w:i/>
        </w:rPr>
        <w:t xml:space="preserve"> la responsabilidad de los funcionarios sobre su gestión pública</w:t>
      </w:r>
      <w:r w:rsidRPr="005454F8">
        <w:rPr>
          <w:rStyle w:val="Refdenotaalpie"/>
          <w:rFonts w:ascii="Palatino Linotype" w:eastAsia="MS Mincho" w:hAnsi="Palatino Linotype"/>
          <w:i/>
        </w:rPr>
        <w:footnoteReference w:id="4"/>
      </w:r>
      <w:r w:rsidRPr="005454F8">
        <w:rPr>
          <w:rFonts w:ascii="Palatino Linotype" w:eastAsia="MS Mincho" w:hAnsi="Palatino Linotype"/>
          <w:i/>
        </w:rPr>
        <w:t xml:space="preserve"> </w:t>
      </w:r>
      <w:r w:rsidRPr="005454F8">
        <w:rPr>
          <w:rFonts w:ascii="Palatino Linotype" w:eastAsia="MS Mincho" w:hAnsi="Palatino Linotype"/>
        </w:rPr>
        <w:t>que permite</w:t>
      </w:r>
      <w:r w:rsidRPr="005454F8">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5454F8">
        <w:rPr>
          <w:rStyle w:val="Refdenotaalpie"/>
          <w:rFonts w:ascii="Palatino Linotype" w:eastAsia="MS Mincho" w:hAnsi="Palatino Linotype"/>
          <w:i/>
        </w:rPr>
        <w:footnoteReference w:id="5"/>
      </w:r>
      <w:r w:rsidR="002B1832" w:rsidRPr="005454F8">
        <w:rPr>
          <w:rFonts w:ascii="Palatino Linotype" w:eastAsia="MS Mincho" w:hAnsi="Palatino Linotype"/>
        </w:rPr>
        <w:t xml:space="preserve"> Además, </w:t>
      </w:r>
      <w:r w:rsidR="002B1832" w:rsidRPr="005454F8">
        <w:rPr>
          <w:rFonts w:ascii="Palatino Linotype" w:eastAsiaTheme="minorHAnsi" w:hAnsi="Palatino Linotype" w:cs="Bookman Old Style"/>
          <w:i/>
          <w:sz w:val="22"/>
          <w:szCs w:val="20"/>
          <w:bdr w:val="none" w:sz="0" w:space="0" w:color="auto"/>
        </w:rPr>
        <w:t>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w:t>
      </w:r>
      <w:r w:rsidR="002B1832" w:rsidRPr="005454F8">
        <w:rPr>
          <w:rFonts w:ascii="Palatino Linotype" w:hAnsi="Palatino Linotype"/>
          <w:i/>
          <w:sz w:val="28"/>
        </w:rPr>
        <w:t xml:space="preserve"> </w:t>
      </w:r>
      <w:r w:rsidR="002B1832" w:rsidRPr="005454F8">
        <w:rPr>
          <w:rFonts w:ascii="Palatino Linotype" w:eastAsiaTheme="minorHAnsi" w:hAnsi="Palatino Linotype" w:cs="Bookman Old Style"/>
          <w:i/>
          <w:sz w:val="22"/>
          <w:szCs w:val="20"/>
          <w:bdr w:val="none" w:sz="0" w:space="0" w:color="auto"/>
        </w:rPr>
        <w:t>personas.</w:t>
      </w:r>
    </w:p>
    <w:p w:rsidR="005454F8" w:rsidRPr="005454F8" w:rsidRDefault="005454F8"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360" w:line="360" w:lineRule="auto"/>
        <w:ind w:left="426"/>
        <w:jc w:val="both"/>
        <w:rPr>
          <w:rFonts w:ascii="Palatino Linotype" w:hAnsi="Palatino Linotype"/>
        </w:rPr>
      </w:pPr>
    </w:p>
    <w:p w:rsidR="00FC3559" w:rsidRPr="005454F8" w:rsidRDefault="00F32529" w:rsidP="005454F8">
      <w:pPr>
        <w:pStyle w:val="Prrafodelista"/>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360" w:line="360" w:lineRule="auto"/>
        <w:ind w:left="426" w:hanging="426"/>
        <w:jc w:val="both"/>
        <w:rPr>
          <w:rFonts w:ascii="Palatino Linotype" w:hAnsi="Palatino Linotype"/>
        </w:rPr>
      </w:pPr>
      <w:bookmarkStart w:id="3" w:name="_GoBack"/>
      <w:bookmarkEnd w:id="3"/>
      <w:r w:rsidRPr="005454F8">
        <w:rPr>
          <w:rFonts w:ascii="Palatino Linotype" w:hAnsi="Palatino Linotype" w:cs="Arial"/>
          <w:color w:val="000000" w:themeColor="text1"/>
          <w:lang w:val="es-ES"/>
        </w:rPr>
        <w:lastRenderedPageBreak/>
        <w:t xml:space="preserve">La garantía primaria </w:t>
      </w:r>
      <w:r w:rsidR="005454F8">
        <w:rPr>
          <w:rFonts w:ascii="Palatino Linotype" w:hAnsi="Palatino Linotype" w:cs="Arial"/>
          <w:color w:val="000000" w:themeColor="text1"/>
          <w:lang w:val="es-ES"/>
        </w:rPr>
        <w:t>es ejercida</w:t>
      </w:r>
      <w:r w:rsidRPr="005454F8">
        <w:rPr>
          <w:rFonts w:ascii="Palatino Linotype" w:hAnsi="Palatino Linotype" w:cs="Arial"/>
          <w:color w:val="000000" w:themeColor="text1"/>
          <w:lang w:val="es-ES"/>
        </w:rPr>
        <w:t xml:space="preserve"> por los recurrentes frente a los Sujetos Obligados, sin que éste Órgano Garante intervenga en las actuaciones. Los Sujetos Obligados darán respuesta a las solicitudes y sólo en caso de que los particulares consideren que las respuestas no fueron favorables podrán interponer los recursos de revisión correspondientes. Éstos últimos, fungen como la garantía secundaria del derecho de acceso a la información mediante la cual se pretende reparar cualquier posible afectación al derecho de acceso a la información pública. Dicha garantía se encuentra contemplada en el Título Octavo DE LA IMPUGNACIÓN EN MATERIA DE DERECHO DE ACCESO A LA INFORMACIÓN PÚBLICA. Capítulo I, Del Recurso de Revisión ante el Instituto</w:t>
      </w:r>
      <w:r w:rsidR="00F96A13" w:rsidRPr="005454F8">
        <w:rPr>
          <w:rFonts w:ascii="Palatino Linotype" w:hAnsi="Palatino Linotype" w:cs="Arial"/>
          <w:color w:val="000000" w:themeColor="text1"/>
          <w:lang w:val="es-ES"/>
        </w:rPr>
        <w:t>.</w:t>
      </w:r>
    </w:p>
    <w:p w:rsidR="00F96A13" w:rsidRPr="005454F8" w:rsidRDefault="00F96A13"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color w:val="000000" w:themeColor="text1"/>
          <w:lang w:val="es-ES"/>
        </w:rPr>
      </w:pPr>
    </w:p>
    <w:p w:rsidR="00F96A13" w:rsidRPr="007A1C67" w:rsidRDefault="00F96A13" w:rsidP="005454F8">
      <w:pPr>
        <w:pStyle w:val="Prrafodelist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jc w:val="both"/>
        <w:rPr>
          <w:rFonts w:ascii="Palatino Linotype" w:hAnsi="Palatino Linotype" w:cs="Arial"/>
          <w:color w:val="000000" w:themeColor="text1"/>
          <w:sz w:val="22"/>
          <w:szCs w:val="22"/>
          <w:lang w:val="es-ES"/>
        </w:rPr>
      </w:pPr>
      <w:r w:rsidRPr="007A1C67">
        <w:rPr>
          <w:rFonts w:ascii="Palatino Linotype" w:hAnsi="Palatino Linotype" w:cs="Arial"/>
          <w:color w:val="000000" w:themeColor="text1"/>
          <w:sz w:val="22"/>
          <w:szCs w:val="22"/>
          <w:lang w:val="es-ES"/>
        </w:rPr>
        <w:t xml:space="preserve">Es así que, </w:t>
      </w:r>
      <w:r w:rsidR="00E80BF1" w:rsidRPr="007A1C67">
        <w:rPr>
          <w:rFonts w:ascii="Palatino Linotype" w:hAnsi="Palatino Linotype" w:cs="Arial"/>
          <w:color w:val="000000" w:themeColor="text1"/>
          <w:sz w:val="22"/>
          <w:szCs w:val="22"/>
          <w:lang w:val="es-ES"/>
        </w:rPr>
        <w:t xml:space="preserve">es </w:t>
      </w:r>
      <w:r w:rsidRPr="007A1C67">
        <w:rPr>
          <w:rFonts w:ascii="Palatino Linotype" w:hAnsi="Palatino Linotype" w:cs="Arial"/>
          <w:color w:val="000000" w:themeColor="text1"/>
          <w:sz w:val="22"/>
          <w:szCs w:val="22"/>
          <w:lang w:val="es-ES"/>
        </w:rPr>
        <w:t>hasta el ejercicio de la garantía secundar</w:t>
      </w:r>
      <w:r w:rsidR="00E80BF1" w:rsidRPr="007A1C67">
        <w:rPr>
          <w:rFonts w:ascii="Palatino Linotype" w:hAnsi="Palatino Linotype" w:cs="Arial"/>
          <w:color w:val="000000" w:themeColor="text1"/>
          <w:sz w:val="22"/>
          <w:szCs w:val="22"/>
          <w:lang w:val="es-ES"/>
        </w:rPr>
        <w:t>ia</w:t>
      </w:r>
      <w:r w:rsidRPr="007A1C67">
        <w:rPr>
          <w:rFonts w:ascii="Palatino Linotype" w:hAnsi="Palatino Linotype" w:cs="Arial"/>
          <w:color w:val="000000" w:themeColor="text1"/>
          <w:sz w:val="22"/>
          <w:szCs w:val="22"/>
          <w:lang w:val="es-ES"/>
        </w:rPr>
        <w:t xml:space="preserve"> que se faculta a este Órgano Garante para tutelar de manera efectiva el derecho accionado, toda vez que, sin la interposición del recurso de revisi</w:t>
      </w:r>
      <w:r w:rsidR="00E80BF1" w:rsidRPr="007A1C67">
        <w:rPr>
          <w:rFonts w:ascii="Palatino Linotype" w:hAnsi="Palatino Linotype" w:cs="Arial"/>
          <w:color w:val="000000" w:themeColor="text1"/>
          <w:sz w:val="22"/>
          <w:szCs w:val="22"/>
          <w:lang w:val="es-ES"/>
        </w:rPr>
        <w:t>ón nos enco</w:t>
      </w:r>
      <w:r w:rsidRPr="007A1C67">
        <w:rPr>
          <w:rFonts w:ascii="Palatino Linotype" w:hAnsi="Palatino Linotype" w:cs="Arial"/>
          <w:color w:val="000000" w:themeColor="text1"/>
          <w:sz w:val="22"/>
          <w:szCs w:val="22"/>
          <w:lang w:val="es-ES"/>
        </w:rPr>
        <w:t>ntra</w:t>
      </w:r>
      <w:r w:rsidR="00E80BF1" w:rsidRPr="007A1C67">
        <w:rPr>
          <w:rFonts w:ascii="Palatino Linotype" w:hAnsi="Palatino Linotype" w:cs="Arial"/>
          <w:color w:val="000000" w:themeColor="text1"/>
          <w:sz w:val="22"/>
          <w:szCs w:val="22"/>
          <w:lang w:val="es-ES"/>
        </w:rPr>
        <w:t>mos</w:t>
      </w:r>
      <w:r w:rsidRPr="007A1C67">
        <w:rPr>
          <w:rFonts w:ascii="Palatino Linotype" w:hAnsi="Palatino Linotype" w:cs="Arial"/>
          <w:color w:val="000000" w:themeColor="text1"/>
          <w:sz w:val="22"/>
          <w:szCs w:val="22"/>
          <w:lang w:val="es-ES"/>
        </w:rPr>
        <w:t xml:space="preserve"> imposibilitado</w:t>
      </w:r>
      <w:r w:rsidR="00E80BF1" w:rsidRPr="007A1C67">
        <w:rPr>
          <w:rFonts w:ascii="Palatino Linotype" w:hAnsi="Palatino Linotype" w:cs="Arial"/>
          <w:color w:val="000000" w:themeColor="text1"/>
          <w:sz w:val="22"/>
          <w:szCs w:val="22"/>
          <w:lang w:val="es-ES"/>
        </w:rPr>
        <w:t>s</w:t>
      </w:r>
      <w:r w:rsidRPr="007A1C67">
        <w:rPr>
          <w:rFonts w:ascii="Palatino Linotype" w:hAnsi="Palatino Linotype" w:cs="Arial"/>
          <w:color w:val="000000" w:themeColor="text1"/>
          <w:sz w:val="22"/>
          <w:szCs w:val="22"/>
          <w:lang w:val="es-ES"/>
        </w:rPr>
        <w:t xml:space="preserve"> para inte</w:t>
      </w:r>
      <w:r w:rsidR="00E80BF1" w:rsidRPr="007A1C67">
        <w:rPr>
          <w:rFonts w:ascii="Palatino Linotype" w:hAnsi="Palatino Linotype" w:cs="Arial"/>
          <w:color w:val="000000" w:themeColor="text1"/>
          <w:sz w:val="22"/>
          <w:szCs w:val="22"/>
          <w:lang w:val="es-ES"/>
        </w:rPr>
        <w:t xml:space="preserve">rvenir dentro del procedimiento y </w:t>
      </w:r>
      <w:r w:rsidR="005454F8" w:rsidRPr="007A1C67">
        <w:rPr>
          <w:rFonts w:ascii="Palatino Linotype" w:hAnsi="Palatino Linotype" w:cs="Arial"/>
          <w:color w:val="000000" w:themeColor="text1"/>
          <w:sz w:val="22"/>
          <w:szCs w:val="22"/>
          <w:lang w:val="es-ES"/>
        </w:rPr>
        <w:t>emitir una resolución.</w:t>
      </w:r>
    </w:p>
    <w:p w:rsidR="00E80BF1" w:rsidRPr="007A1C67" w:rsidRDefault="00E80BF1" w:rsidP="005454F8">
      <w:pPr>
        <w:pStyle w:val="Prrafodelista"/>
        <w:spacing w:line="360" w:lineRule="auto"/>
        <w:ind w:left="426" w:hanging="426"/>
        <w:rPr>
          <w:rFonts w:ascii="Palatino Linotype" w:hAnsi="Palatino Linotype" w:cs="Arial"/>
          <w:color w:val="000000" w:themeColor="text1"/>
          <w:sz w:val="22"/>
          <w:szCs w:val="22"/>
          <w:lang w:val="es-ES"/>
        </w:rPr>
      </w:pPr>
    </w:p>
    <w:p w:rsidR="00E80BF1" w:rsidRPr="007A1C67" w:rsidRDefault="00E80BF1" w:rsidP="005454F8">
      <w:pPr>
        <w:pStyle w:val="Ttulo2"/>
        <w:numPr>
          <w:ilvl w:val="0"/>
          <w:numId w:val="32"/>
        </w:numPr>
        <w:spacing w:line="360" w:lineRule="auto"/>
        <w:rPr>
          <w:rFonts w:ascii="Palatino Linotype" w:hAnsi="Palatino Linotype"/>
          <w:b/>
          <w:color w:val="auto"/>
          <w:sz w:val="22"/>
          <w:szCs w:val="22"/>
        </w:rPr>
      </w:pPr>
      <w:bookmarkStart w:id="4" w:name="_Toc2700377"/>
      <w:r w:rsidRPr="007A1C67">
        <w:rPr>
          <w:rFonts w:ascii="Palatino Linotype" w:hAnsi="Palatino Linotype"/>
          <w:b/>
          <w:color w:val="auto"/>
          <w:sz w:val="22"/>
          <w:szCs w:val="22"/>
        </w:rPr>
        <w:t>Del Desistimiento.</w:t>
      </w:r>
      <w:bookmarkEnd w:id="4"/>
      <w:r w:rsidRPr="007A1C67">
        <w:rPr>
          <w:rFonts w:ascii="Palatino Linotype" w:hAnsi="Palatino Linotype"/>
          <w:b/>
          <w:color w:val="auto"/>
          <w:sz w:val="22"/>
          <w:szCs w:val="22"/>
        </w:rPr>
        <w:t xml:space="preserve"> </w:t>
      </w:r>
    </w:p>
    <w:p w:rsidR="00E80BF1" w:rsidRPr="007A1C67" w:rsidRDefault="00E80BF1" w:rsidP="005454F8">
      <w:pPr>
        <w:pStyle w:val="Prrafodelista"/>
        <w:numPr>
          <w:ilvl w:val="0"/>
          <w:numId w:val="30"/>
        </w:numPr>
        <w:spacing w:line="360" w:lineRule="auto"/>
        <w:ind w:left="426" w:hanging="426"/>
        <w:jc w:val="both"/>
        <w:rPr>
          <w:rFonts w:ascii="Palatino Linotype" w:hAnsi="Palatino Linotype"/>
          <w:sz w:val="22"/>
          <w:szCs w:val="22"/>
        </w:rPr>
      </w:pPr>
      <w:r w:rsidRPr="007A1C67">
        <w:rPr>
          <w:rFonts w:ascii="Palatino Linotype" w:hAnsi="Palatino Linotype" w:cs="Arial"/>
          <w:sz w:val="22"/>
          <w:szCs w:val="22"/>
        </w:rPr>
        <w:t xml:space="preserve">Acto procesal </w:t>
      </w:r>
      <w:r w:rsidRPr="007A1C67">
        <w:rPr>
          <w:rFonts w:ascii="Palatino Linotype" w:hAnsi="Palatino Linotype"/>
          <w:sz w:val="22"/>
          <w:szCs w:val="22"/>
        </w:rPr>
        <w:t>mediante el cual se manifiesta el propósito de abandonar una instancia o de no continuar el ejercicio de una acción, la reclamación de un derecho o la realización de cualquier otro trámite de un procedimiento iniciado.  (Diccionario Jurídico Mexicano)</w:t>
      </w:r>
    </w:p>
    <w:p w:rsidR="00E80BF1" w:rsidRPr="007A1C67" w:rsidRDefault="00E80BF1" w:rsidP="005454F8">
      <w:pPr>
        <w:pStyle w:val="Prrafodelista"/>
        <w:spacing w:line="360" w:lineRule="auto"/>
        <w:ind w:left="426" w:hanging="426"/>
        <w:jc w:val="both"/>
        <w:rPr>
          <w:rFonts w:ascii="Palatino Linotype" w:hAnsi="Palatino Linotype"/>
          <w:sz w:val="22"/>
          <w:szCs w:val="22"/>
        </w:rPr>
      </w:pPr>
    </w:p>
    <w:p w:rsidR="00E80BF1" w:rsidRPr="007A1C67" w:rsidRDefault="00E80BF1" w:rsidP="005454F8">
      <w:pPr>
        <w:pStyle w:val="Sinespaciado"/>
        <w:numPr>
          <w:ilvl w:val="0"/>
          <w:numId w:val="30"/>
        </w:numPr>
        <w:spacing w:line="360" w:lineRule="auto"/>
        <w:ind w:left="426" w:right="49" w:hanging="426"/>
        <w:jc w:val="both"/>
        <w:rPr>
          <w:rFonts w:ascii="Palatino Linotype" w:hAnsi="Palatino Linotype" w:cs="Arial"/>
        </w:rPr>
      </w:pPr>
      <w:r w:rsidRPr="007A1C67">
        <w:rPr>
          <w:rFonts w:ascii="Palatino Linotype" w:hAnsi="Palatino Linotype" w:cs="Arial"/>
        </w:rPr>
        <w:lastRenderedPageBreak/>
        <w:t>Es así que, con el desistimiento, se renuncia por propio derecho los actos procesales a que haya lugar, o bien, a las pretensiones litigiosas. Esto puede darse por diversas razones, mismas que serán siempre, ejercidas por voluntad del propio recurrente.</w:t>
      </w:r>
    </w:p>
    <w:p w:rsidR="00E80BF1" w:rsidRPr="007A1C67" w:rsidRDefault="00E80BF1" w:rsidP="005454F8">
      <w:pPr>
        <w:pStyle w:val="Prrafodelista"/>
        <w:spacing w:line="360" w:lineRule="auto"/>
        <w:ind w:left="426" w:hanging="426"/>
        <w:rPr>
          <w:rFonts w:ascii="Palatino Linotype" w:hAnsi="Palatino Linotype" w:cs="Arial"/>
          <w:sz w:val="22"/>
          <w:szCs w:val="22"/>
        </w:rPr>
      </w:pPr>
    </w:p>
    <w:p w:rsidR="00E80BF1" w:rsidRPr="007A1C67" w:rsidRDefault="00E80BF1" w:rsidP="005454F8">
      <w:pPr>
        <w:pStyle w:val="Sinespaciado"/>
        <w:numPr>
          <w:ilvl w:val="0"/>
          <w:numId w:val="30"/>
        </w:numPr>
        <w:spacing w:line="360" w:lineRule="auto"/>
        <w:ind w:left="426" w:right="49" w:hanging="426"/>
        <w:jc w:val="both"/>
        <w:rPr>
          <w:rFonts w:ascii="Palatino Linotype" w:hAnsi="Palatino Linotype" w:cs="Arial"/>
        </w:rPr>
      </w:pPr>
      <w:r w:rsidRPr="007A1C67">
        <w:rPr>
          <w:rFonts w:ascii="Palatino Linotype" w:hAnsi="Palatino Linotype"/>
        </w:rPr>
        <w:t>Para el caso que nos ocupa conviene hacer una precisión respecto del desistimiento de la instancia y de la acción, para lo cual sirve la tesis aislada de la Octava Época, con número de registro 230001, que es de la literalidad siguiente:</w:t>
      </w:r>
    </w:p>
    <w:p w:rsidR="00E80BF1" w:rsidRPr="005454F8" w:rsidRDefault="00E80BF1" w:rsidP="005454F8">
      <w:pPr>
        <w:pStyle w:val="Prrafodelista"/>
        <w:spacing w:line="360" w:lineRule="auto"/>
        <w:ind w:left="426" w:hanging="426"/>
        <w:jc w:val="both"/>
        <w:rPr>
          <w:rFonts w:ascii="Palatino Linotype" w:hAnsi="Palatino Linotype" w:cs="Arial"/>
          <w:szCs w:val="20"/>
        </w:rPr>
      </w:pPr>
    </w:p>
    <w:p w:rsidR="00E80BF1" w:rsidRPr="005454F8" w:rsidRDefault="00E80BF1" w:rsidP="005454F8">
      <w:pPr>
        <w:spacing w:line="360" w:lineRule="auto"/>
        <w:ind w:left="567" w:right="616"/>
        <w:jc w:val="both"/>
        <w:rPr>
          <w:rFonts w:ascii="Palatino Linotype" w:hAnsi="Palatino Linotype"/>
          <w:i/>
          <w:sz w:val="22"/>
        </w:rPr>
      </w:pPr>
      <w:r w:rsidRPr="005454F8">
        <w:rPr>
          <w:rFonts w:ascii="Palatino Linotype" w:hAnsi="Palatino Linotype"/>
          <w:i/>
          <w:sz w:val="22"/>
        </w:rPr>
        <w:t>DESISTIMIENTO DE LA ACCION Y DESISTIMIENTO DE LA INSTANCIA DIFERENCIAS. (LEGISLACION DEL ESTADO DE QUERETARO). Conforme al artículo 34 del Código de Procedimientos Civiles del Estado de Querétaro, se advierte la distinción entre el desistimiento de la acción y el desistimiento de la instancia, cuando se dice en este precepto legal que el desistimiento de la demanda importa la pérdida de la "instancia". De acuerdo con ello, si en el caso quedó acreditado en los autos que el actor se desistió de la demanda y de la instancia conforme a su promoción que fue acordada de conformidad por la autoridad competente, es inconcuso que quedaron a salvo los derechos del hoy quejoso para promover en el futuro otro juicio civil sobre la misma materia planteada en el diverso juicio en el que desistió de la instancia, por no haberse decidido sobre el fondo del asunto y porque no renunció al ejercicio de la acción por el simple desistimiento de la instancia.</w:t>
      </w:r>
    </w:p>
    <w:p w:rsidR="00E80BF1" w:rsidRPr="005454F8" w:rsidRDefault="00E80BF1" w:rsidP="005454F8">
      <w:pPr>
        <w:pStyle w:val="Sinespaciado"/>
        <w:spacing w:line="360" w:lineRule="auto"/>
        <w:ind w:left="426" w:right="49" w:hanging="426"/>
        <w:jc w:val="both"/>
        <w:rPr>
          <w:rFonts w:ascii="Palatino Linotype" w:hAnsi="Palatino Linotype" w:cs="Arial"/>
          <w:sz w:val="24"/>
          <w:szCs w:val="20"/>
        </w:rPr>
      </w:pPr>
    </w:p>
    <w:p w:rsidR="00E80BF1" w:rsidRPr="007A1C67" w:rsidRDefault="00E80BF1" w:rsidP="005454F8">
      <w:pPr>
        <w:pStyle w:val="Sinespaciado"/>
        <w:numPr>
          <w:ilvl w:val="0"/>
          <w:numId w:val="30"/>
        </w:numPr>
        <w:spacing w:line="360" w:lineRule="auto"/>
        <w:ind w:left="426" w:right="49" w:hanging="426"/>
        <w:jc w:val="both"/>
        <w:rPr>
          <w:rFonts w:ascii="Palatino Linotype" w:hAnsi="Palatino Linotype" w:cs="Arial"/>
          <w:szCs w:val="20"/>
        </w:rPr>
      </w:pPr>
      <w:r w:rsidRPr="007A1C67">
        <w:rPr>
          <w:rFonts w:ascii="Palatino Linotype" w:hAnsi="Palatino Linotype" w:cs="Arial"/>
          <w:szCs w:val="20"/>
        </w:rPr>
        <w:t xml:space="preserve">De la interpretación de la tesis citada tenemos que, el desistimiento de la instancia implica el deseo de no continuar con un procedimiento o parte de él; mientras que el desistirse de la acción implica que no se quiere ejercer un derecho. Lo que conlleva que </w:t>
      </w:r>
      <w:r w:rsidRPr="007A1C67">
        <w:rPr>
          <w:rFonts w:ascii="Palatino Linotype" w:hAnsi="Palatino Linotype" w:cs="Arial"/>
          <w:szCs w:val="20"/>
        </w:rPr>
        <w:lastRenderedPageBreak/>
        <w:t>el primero deja a salvo los derechos para poder ejercerlos con posterioridad y, el segundo imposibilita el ejercicio futuro de un derecho.</w:t>
      </w:r>
    </w:p>
    <w:p w:rsidR="00E80BF1" w:rsidRPr="007A1C67" w:rsidRDefault="00E80BF1" w:rsidP="005454F8">
      <w:pPr>
        <w:pStyle w:val="Sinespaciado"/>
        <w:spacing w:line="360" w:lineRule="auto"/>
        <w:ind w:left="426" w:right="49" w:hanging="426"/>
        <w:jc w:val="both"/>
        <w:rPr>
          <w:rFonts w:ascii="Palatino Linotype" w:hAnsi="Palatino Linotype" w:cs="Arial"/>
          <w:szCs w:val="20"/>
        </w:rPr>
      </w:pPr>
    </w:p>
    <w:p w:rsidR="00E80BF1" w:rsidRPr="007A1C67" w:rsidRDefault="003F61EB" w:rsidP="005454F8">
      <w:pPr>
        <w:pStyle w:val="Sinespaciado"/>
        <w:numPr>
          <w:ilvl w:val="0"/>
          <w:numId w:val="30"/>
        </w:numPr>
        <w:spacing w:line="360" w:lineRule="auto"/>
        <w:ind w:left="426" w:right="49" w:hanging="426"/>
        <w:jc w:val="both"/>
        <w:rPr>
          <w:rFonts w:ascii="Palatino Linotype" w:hAnsi="Palatino Linotype" w:cs="Arial"/>
          <w:szCs w:val="20"/>
        </w:rPr>
      </w:pPr>
      <w:r w:rsidRPr="007A1C67">
        <w:rPr>
          <w:rFonts w:ascii="Palatino Linotype" w:hAnsi="Palatino Linotype" w:cs="Arial"/>
          <w:szCs w:val="20"/>
        </w:rPr>
        <w:t>La mayoría de los procedimientos de acceso</w:t>
      </w:r>
      <w:r w:rsidR="00E80BF1" w:rsidRPr="007A1C67">
        <w:rPr>
          <w:rFonts w:ascii="Palatino Linotype" w:hAnsi="Palatino Linotype" w:cs="Arial"/>
          <w:szCs w:val="20"/>
        </w:rPr>
        <w:t xml:space="preserve"> a la información </w:t>
      </w:r>
      <w:r w:rsidRPr="007A1C67">
        <w:rPr>
          <w:rFonts w:ascii="Palatino Linotype" w:hAnsi="Palatino Linotype" w:cs="Arial"/>
          <w:szCs w:val="20"/>
        </w:rPr>
        <w:t xml:space="preserve">se sustancian mediante </w:t>
      </w:r>
      <w:r w:rsidR="00E80BF1" w:rsidRPr="007A1C67">
        <w:rPr>
          <w:rFonts w:ascii="Palatino Linotype" w:hAnsi="Palatino Linotype" w:cs="Arial"/>
          <w:szCs w:val="20"/>
        </w:rPr>
        <w:t>el Sistema de Acceso a la Informaci</w:t>
      </w:r>
      <w:r w:rsidRPr="007A1C67">
        <w:rPr>
          <w:rFonts w:ascii="Palatino Linotype" w:hAnsi="Palatino Linotype" w:cs="Arial"/>
          <w:szCs w:val="20"/>
        </w:rPr>
        <w:t xml:space="preserve">ón Mexiquense (SAIMEX), y éste último cuenta con un apartado denominado “desistimiento”, el cual, </w:t>
      </w:r>
      <w:r w:rsidR="00E80BF1" w:rsidRPr="007A1C67">
        <w:rPr>
          <w:rFonts w:ascii="Palatino Linotype" w:hAnsi="Palatino Linotype" w:cs="Arial"/>
          <w:szCs w:val="20"/>
        </w:rPr>
        <w:t>únicamente los particulares pueden seleccionar. Acto seguido y como medio de protección, emerge una ventana de alerta con el objeto de que se confirme su deseo de</w:t>
      </w:r>
      <w:r w:rsidRPr="007A1C67">
        <w:rPr>
          <w:rFonts w:ascii="Palatino Linotype" w:hAnsi="Palatino Linotype" w:cs="Arial"/>
          <w:szCs w:val="20"/>
        </w:rPr>
        <w:t xml:space="preserve"> desistirse, al tiempo que podrán plasmar las razones por las cuales ya no desean continuar con el procedimiento.</w:t>
      </w:r>
    </w:p>
    <w:p w:rsidR="00E80BF1" w:rsidRPr="007A1C67" w:rsidRDefault="00E80BF1"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color w:val="000000" w:themeColor="text1"/>
          <w:sz w:val="22"/>
          <w:lang w:val="es-ES"/>
        </w:rPr>
      </w:pPr>
    </w:p>
    <w:p w:rsidR="00B628EA" w:rsidRPr="007A1C67" w:rsidRDefault="003F61EB" w:rsidP="005454F8">
      <w:pPr>
        <w:pStyle w:val="Prrafodelist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color w:val="000000" w:themeColor="text1"/>
          <w:sz w:val="22"/>
          <w:lang w:val="es-ES"/>
        </w:rPr>
      </w:pPr>
      <w:r w:rsidRPr="007A1C67">
        <w:rPr>
          <w:rFonts w:ascii="Palatino Linotype" w:hAnsi="Palatino Linotype" w:cs="Arial"/>
          <w:color w:val="000000" w:themeColor="text1"/>
          <w:sz w:val="22"/>
          <w:lang w:val="es-ES"/>
        </w:rPr>
        <w:t>N</w:t>
      </w:r>
      <w:r w:rsidR="00B628EA" w:rsidRPr="007A1C67">
        <w:rPr>
          <w:rFonts w:ascii="Palatino Linotype" w:hAnsi="Palatino Linotype" w:cs="Arial"/>
          <w:color w:val="000000" w:themeColor="text1"/>
          <w:sz w:val="22"/>
          <w:lang w:val="es-ES"/>
        </w:rPr>
        <w:t>o debemos perder de vista que el recurrente</w:t>
      </w:r>
      <w:r w:rsidRPr="007A1C67">
        <w:rPr>
          <w:rFonts w:ascii="Palatino Linotype" w:hAnsi="Palatino Linotype" w:cs="Arial"/>
          <w:color w:val="000000" w:themeColor="text1"/>
          <w:sz w:val="22"/>
          <w:lang w:val="es-ES"/>
        </w:rPr>
        <w:t>,</w:t>
      </w:r>
      <w:r w:rsidR="00B628EA" w:rsidRPr="007A1C67">
        <w:rPr>
          <w:rFonts w:ascii="Palatino Linotype" w:hAnsi="Palatino Linotype" w:cs="Arial"/>
          <w:color w:val="000000" w:themeColor="text1"/>
          <w:sz w:val="22"/>
          <w:lang w:val="es-ES"/>
        </w:rPr>
        <w:t xml:space="preserve"> en su escrito de desistimiento</w:t>
      </w:r>
      <w:r w:rsidRPr="007A1C67">
        <w:rPr>
          <w:rFonts w:ascii="Palatino Linotype" w:hAnsi="Palatino Linotype" w:cs="Arial"/>
          <w:color w:val="000000" w:themeColor="text1"/>
          <w:sz w:val="22"/>
          <w:lang w:val="es-ES"/>
        </w:rPr>
        <w:t>,</w:t>
      </w:r>
      <w:r w:rsidR="00B628EA" w:rsidRPr="007A1C67">
        <w:rPr>
          <w:rFonts w:ascii="Palatino Linotype" w:hAnsi="Palatino Linotype" w:cs="Arial"/>
          <w:color w:val="000000" w:themeColor="text1"/>
          <w:sz w:val="22"/>
          <w:lang w:val="es-ES"/>
        </w:rPr>
        <w:t xml:space="preserve"> manifestó de manera clara lo siguiente: </w:t>
      </w:r>
      <w:r w:rsidRPr="007A1C67">
        <w:rPr>
          <w:rFonts w:ascii="Palatino Linotype" w:hAnsi="Palatino Linotype" w:cs="Arial"/>
          <w:b/>
          <w:color w:val="000000" w:themeColor="text1"/>
          <w:sz w:val="22"/>
          <w:lang w:val="es-ES"/>
        </w:rPr>
        <w:t>“</w:t>
      </w:r>
      <w:r w:rsidR="00B628EA" w:rsidRPr="007A1C67">
        <w:rPr>
          <w:rFonts w:ascii="Palatino Linotype" w:hAnsi="Palatino Linotype" w:cs="Arial"/>
          <w:b/>
          <w:color w:val="000000" w:themeColor="text1"/>
          <w:sz w:val="22"/>
          <w:lang w:val="es-ES"/>
        </w:rPr>
        <w:t>VOLUNTARIAMENTE Y POR DESICIÓN PERSONAL ME DESISTO DE LAS SIGUIENTES SOLICITUDES”</w:t>
      </w:r>
      <w:r w:rsidR="00B628EA" w:rsidRPr="007A1C67">
        <w:rPr>
          <w:rFonts w:ascii="Palatino Linotype" w:hAnsi="Palatino Linotype" w:cs="Arial"/>
          <w:color w:val="000000" w:themeColor="text1"/>
          <w:sz w:val="22"/>
          <w:lang w:val="es-ES"/>
        </w:rPr>
        <w:t xml:space="preserve">, de la simple lectura al texto tenemos que el recurrente desea </w:t>
      </w:r>
      <w:r w:rsidR="00B628EA" w:rsidRPr="007A1C67">
        <w:rPr>
          <w:rFonts w:ascii="Palatino Linotype" w:hAnsi="Palatino Linotype" w:cs="Arial"/>
          <w:b/>
          <w:color w:val="000000" w:themeColor="text1"/>
          <w:sz w:val="22"/>
          <w:lang w:val="es-ES"/>
        </w:rPr>
        <w:t>desistirse de las solicitudes</w:t>
      </w:r>
      <w:r w:rsidR="00B628EA" w:rsidRPr="007A1C67">
        <w:rPr>
          <w:rFonts w:ascii="Palatino Linotype" w:hAnsi="Palatino Linotype" w:cs="Arial"/>
          <w:color w:val="000000" w:themeColor="text1"/>
          <w:sz w:val="22"/>
          <w:lang w:val="es-ES"/>
        </w:rPr>
        <w:t xml:space="preserve">, más no de los recursos de revisión, desea desistirse de la instancia, más no de la acción. </w:t>
      </w:r>
      <w:r w:rsidRPr="007A1C67">
        <w:rPr>
          <w:rFonts w:ascii="Palatino Linotype" w:hAnsi="Palatino Linotype" w:cs="Arial"/>
          <w:color w:val="000000" w:themeColor="text1"/>
          <w:sz w:val="22"/>
          <w:lang w:val="es-ES"/>
        </w:rPr>
        <w:t xml:space="preserve">Situación </w:t>
      </w:r>
      <w:r w:rsidR="00B628EA" w:rsidRPr="007A1C67">
        <w:rPr>
          <w:rFonts w:ascii="Palatino Linotype" w:hAnsi="Palatino Linotype" w:cs="Arial"/>
          <w:color w:val="000000" w:themeColor="text1"/>
          <w:sz w:val="22"/>
          <w:lang w:val="es-ES"/>
        </w:rPr>
        <w:t xml:space="preserve">que </w:t>
      </w:r>
      <w:r w:rsidR="00B628EA" w:rsidRPr="007A1C67">
        <w:rPr>
          <w:rFonts w:ascii="Palatino Linotype" w:hAnsi="Palatino Linotype" w:cs="Arial"/>
          <w:b/>
          <w:color w:val="000000" w:themeColor="text1"/>
          <w:sz w:val="22"/>
          <w:lang w:val="es-ES"/>
        </w:rPr>
        <w:t>no</w:t>
      </w:r>
      <w:r w:rsidR="00B628EA" w:rsidRPr="007A1C67">
        <w:rPr>
          <w:rFonts w:ascii="Palatino Linotype" w:hAnsi="Palatino Linotype" w:cs="Arial"/>
          <w:color w:val="000000" w:themeColor="text1"/>
          <w:sz w:val="22"/>
          <w:lang w:val="es-ES"/>
        </w:rPr>
        <w:t xml:space="preserve"> imposibilita a éste Órgano Garante para resolver en cuanto al fondo del asunto, pues jurídicamente</w:t>
      </w:r>
      <w:r w:rsidR="00B628EA" w:rsidRPr="007A1C67">
        <w:rPr>
          <w:rFonts w:ascii="Palatino Linotype" w:hAnsi="Palatino Linotype" w:cs="Arial"/>
          <w:b/>
          <w:color w:val="000000" w:themeColor="text1"/>
          <w:sz w:val="22"/>
          <w:lang w:val="es-ES"/>
        </w:rPr>
        <w:t>, no</w:t>
      </w:r>
      <w:r w:rsidR="00B628EA" w:rsidRPr="007A1C67">
        <w:rPr>
          <w:rFonts w:ascii="Palatino Linotype" w:hAnsi="Palatino Linotype" w:cs="Arial"/>
          <w:color w:val="000000" w:themeColor="text1"/>
          <w:sz w:val="22"/>
          <w:lang w:val="es-ES"/>
        </w:rPr>
        <w:t xml:space="preserve"> existe un desistimiento del recurso de revisión, o bien, un desistimiento de la acción.</w:t>
      </w:r>
    </w:p>
    <w:p w:rsidR="00B628EA" w:rsidRPr="007A1C67" w:rsidRDefault="00B628EA" w:rsidP="005454F8">
      <w:pPr>
        <w:pStyle w:val="Prrafodelista"/>
        <w:spacing w:line="360" w:lineRule="auto"/>
        <w:ind w:left="426" w:hanging="426"/>
        <w:rPr>
          <w:rFonts w:ascii="Palatino Linotype" w:hAnsi="Palatino Linotype"/>
          <w:sz w:val="22"/>
        </w:rPr>
      </w:pPr>
    </w:p>
    <w:p w:rsidR="00B628EA" w:rsidRPr="007A1C67" w:rsidRDefault="00B628EA" w:rsidP="005454F8">
      <w:pPr>
        <w:pStyle w:val="Prrafodelist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color w:val="000000" w:themeColor="text1"/>
          <w:sz w:val="22"/>
          <w:lang w:val="es-ES"/>
        </w:rPr>
      </w:pPr>
      <w:r w:rsidRPr="007A1C67">
        <w:rPr>
          <w:rFonts w:ascii="Palatino Linotype" w:hAnsi="Palatino Linotype"/>
          <w:sz w:val="22"/>
        </w:rPr>
        <w:t>Sirve de sustento a lo anterior la Tesis Aislada, de la Novena Época, con número de registro 164800, que señala lo siguiente:</w:t>
      </w:r>
    </w:p>
    <w:p w:rsidR="00B628EA" w:rsidRPr="005454F8" w:rsidRDefault="00B628EA" w:rsidP="005454F8">
      <w:pPr>
        <w:spacing w:line="360" w:lineRule="auto"/>
        <w:ind w:left="426" w:hanging="426"/>
        <w:rPr>
          <w:rFonts w:ascii="Palatino Linotype" w:hAnsi="Palatino Linotype"/>
        </w:rPr>
      </w:pPr>
    </w:p>
    <w:p w:rsidR="00B628EA" w:rsidRPr="005454F8" w:rsidRDefault="00B628EA" w:rsidP="005454F8">
      <w:pPr>
        <w:spacing w:line="360" w:lineRule="auto"/>
        <w:ind w:left="567" w:right="616"/>
        <w:jc w:val="both"/>
        <w:rPr>
          <w:rFonts w:ascii="Palatino Linotype" w:hAnsi="Palatino Linotype"/>
          <w:i/>
        </w:rPr>
      </w:pPr>
      <w:r w:rsidRPr="005454F8">
        <w:rPr>
          <w:rFonts w:ascii="Palatino Linotype" w:hAnsi="Palatino Linotype"/>
          <w:i/>
          <w:sz w:val="22"/>
        </w:rPr>
        <w:t xml:space="preserve">DESISTIMIENTO DE LA ACCIÓN. CONSECUENCIAS. Conforme al sentido literal del artículo 34 del Código de Procedimientos Civiles para el Distrito Federal, la </w:t>
      </w:r>
      <w:r w:rsidRPr="005454F8">
        <w:rPr>
          <w:rFonts w:ascii="Palatino Linotype" w:hAnsi="Palatino Linotype"/>
          <w:i/>
          <w:sz w:val="22"/>
        </w:rPr>
        <w:lastRenderedPageBreak/>
        <w:t>acción se extingue por el solo desistimiento de quien la ejercitó aun sin consentirlo el demandado; y no se puede volver a iniciar. Por consecuencia del desistimiento de la acción, en un segundo juicio opera la excepción de extinción del derecho sustantivo que fue materia de la pretensión en el primer juicio. En tal virtud, cuando en un primer juicio la misma persona, desiste de la acción, su consecuencia será que pierda el derecho para volver a demandar; que las cosas vuelvan al estado que tenían antes de la presentación de la demanda y que no puedan derivarse derechos de las actuaciones concluidas, máxime si la funda en los mismos hechos sustanciales y documentos en que fundó la primera. No obsta que en el segundo juicio la actora en su demanda agregue otros codemandados y narre hechos que no narró en la primera, si es que el objeto y causa fundamental es el mismo, porque en todo caso prevalece que ya se extinguió su derecho sustantivo, con independencia de que no coincidan la totalidad de demandados y haya otros hechos accesorios, dado que no puede desconocerse el hecho del desistimiento de la acción, lo que implica la extinción del derecho y que la controversia quede definitivamente decidida.</w:t>
      </w:r>
    </w:p>
    <w:p w:rsidR="00B628EA" w:rsidRPr="005454F8" w:rsidRDefault="00B628EA"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color w:val="000000" w:themeColor="text1"/>
          <w:lang w:val="es-ES"/>
        </w:rPr>
      </w:pPr>
    </w:p>
    <w:p w:rsidR="004C6549" w:rsidRPr="005454F8" w:rsidRDefault="003F61EB" w:rsidP="005454F8">
      <w:pPr>
        <w:pStyle w:val="Prrafodelist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No conforme con lo anterior, </w:t>
      </w:r>
      <w:r w:rsidR="004C6549" w:rsidRPr="005454F8">
        <w:rPr>
          <w:rFonts w:ascii="Palatino Linotype" w:hAnsi="Palatino Linotype" w:cs="Arial"/>
          <w:color w:val="000000" w:themeColor="text1"/>
          <w:lang w:val="es-ES"/>
        </w:rPr>
        <w:t>el escrito mediante el cual se formula el desistimiento</w:t>
      </w:r>
      <w:r>
        <w:rPr>
          <w:rFonts w:ascii="Palatino Linotype" w:hAnsi="Palatino Linotype" w:cs="Arial"/>
          <w:color w:val="000000" w:themeColor="text1"/>
          <w:lang w:val="es-ES"/>
        </w:rPr>
        <w:t>,</w:t>
      </w:r>
      <w:r w:rsidR="004C6549" w:rsidRPr="005454F8">
        <w:rPr>
          <w:rFonts w:ascii="Palatino Linotype" w:hAnsi="Palatino Linotype" w:cs="Arial"/>
          <w:color w:val="000000" w:themeColor="text1"/>
          <w:lang w:val="es-ES"/>
        </w:rPr>
        <w:t xml:space="preserve"> va dirigido para un Comisionado de este Instituto, en otras palabras, va dirigido a una autoridad que no tiene como facultad dar trámite a las solicitudes de información, sino a los recursos de revisión. Resultando así que, con la falta de precisión del recurrente sobre lo que se desea desistir, no se </w:t>
      </w:r>
      <w:r>
        <w:rPr>
          <w:rFonts w:ascii="Palatino Linotype" w:hAnsi="Palatino Linotype" w:cs="Arial"/>
          <w:color w:val="000000" w:themeColor="text1"/>
          <w:lang w:val="es-ES"/>
        </w:rPr>
        <w:t>aprecia</w:t>
      </w:r>
      <w:r w:rsidR="004C6549" w:rsidRPr="005454F8">
        <w:rPr>
          <w:rFonts w:ascii="Palatino Linotype" w:hAnsi="Palatino Linotype" w:cs="Arial"/>
          <w:color w:val="000000" w:themeColor="text1"/>
          <w:lang w:val="es-ES"/>
        </w:rPr>
        <w:t xml:space="preserve"> la imposibilidad del Órgano Garante para resolver e</w:t>
      </w:r>
      <w:r>
        <w:rPr>
          <w:rFonts w:ascii="Palatino Linotype" w:hAnsi="Palatino Linotype" w:cs="Arial"/>
          <w:color w:val="000000" w:themeColor="text1"/>
          <w:lang w:val="es-ES"/>
        </w:rPr>
        <w:t>n cuanto a</w:t>
      </w:r>
      <w:r w:rsidR="004C6549" w:rsidRPr="005454F8">
        <w:rPr>
          <w:rFonts w:ascii="Palatino Linotype" w:hAnsi="Palatino Linotype" w:cs="Arial"/>
          <w:color w:val="000000" w:themeColor="text1"/>
          <w:lang w:val="es-ES"/>
        </w:rPr>
        <w:t>l</w:t>
      </w:r>
      <w:r>
        <w:rPr>
          <w:rFonts w:ascii="Palatino Linotype" w:hAnsi="Palatino Linotype" w:cs="Arial"/>
          <w:color w:val="000000" w:themeColor="text1"/>
          <w:lang w:val="es-ES"/>
        </w:rPr>
        <w:t xml:space="preserve"> fondo del asunt</w:t>
      </w:r>
      <w:r w:rsidR="004C6549" w:rsidRPr="005454F8">
        <w:rPr>
          <w:rFonts w:ascii="Palatino Linotype" w:hAnsi="Palatino Linotype" w:cs="Arial"/>
          <w:color w:val="000000" w:themeColor="text1"/>
          <w:lang w:val="es-ES"/>
        </w:rPr>
        <w:t>o</w:t>
      </w:r>
      <w:r>
        <w:rPr>
          <w:rFonts w:ascii="Palatino Linotype" w:hAnsi="Palatino Linotype" w:cs="Arial"/>
          <w:color w:val="000000" w:themeColor="text1"/>
          <w:lang w:val="es-ES"/>
        </w:rPr>
        <w:t>,</w:t>
      </w:r>
      <w:r w:rsidR="004C6549" w:rsidRPr="005454F8">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es decir, los </w:t>
      </w:r>
      <w:r w:rsidR="004C6549" w:rsidRPr="005454F8">
        <w:rPr>
          <w:rFonts w:ascii="Palatino Linotype" w:hAnsi="Palatino Linotype" w:cs="Arial"/>
          <w:color w:val="000000" w:themeColor="text1"/>
          <w:lang w:val="es-ES"/>
        </w:rPr>
        <w:t>motivos de inconformidad</w:t>
      </w:r>
      <w:r>
        <w:rPr>
          <w:rFonts w:ascii="Palatino Linotype" w:hAnsi="Palatino Linotype" w:cs="Arial"/>
          <w:color w:val="000000" w:themeColor="text1"/>
          <w:lang w:val="es-ES"/>
        </w:rPr>
        <w:t>,</w:t>
      </w:r>
      <w:r w:rsidR="004C6549" w:rsidRPr="005454F8">
        <w:rPr>
          <w:rFonts w:ascii="Palatino Linotype" w:hAnsi="Palatino Linotype" w:cs="Arial"/>
          <w:color w:val="000000" w:themeColor="text1"/>
          <w:lang w:val="es-ES"/>
        </w:rPr>
        <w:t xml:space="preserve"> que finalmente se basan en </w:t>
      </w:r>
      <w:r w:rsidR="004C6549" w:rsidRPr="005454F8">
        <w:rPr>
          <w:rFonts w:ascii="Palatino Linotype" w:hAnsi="Palatino Linotype" w:cs="Arial"/>
          <w:color w:val="000000" w:themeColor="text1"/>
          <w:lang w:val="es-ES"/>
        </w:rPr>
        <w:lastRenderedPageBreak/>
        <w:t>que la respuesta está incompleta, es imprecisa y, además, carece de fundamentación y motivación.</w:t>
      </w:r>
    </w:p>
    <w:p w:rsidR="00B628EA" w:rsidRPr="005454F8" w:rsidRDefault="00B628EA" w:rsidP="005454F8">
      <w:pPr>
        <w:pStyle w:val="Prrafodelista"/>
        <w:spacing w:line="360" w:lineRule="auto"/>
        <w:ind w:left="426" w:hanging="426"/>
        <w:rPr>
          <w:rFonts w:ascii="Palatino Linotype" w:hAnsi="Palatino Linotype" w:cs="Arial"/>
          <w:color w:val="000000" w:themeColor="text1"/>
          <w:lang w:val="es-ES"/>
        </w:rPr>
      </w:pPr>
    </w:p>
    <w:p w:rsidR="00644DC3" w:rsidRDefault="00B82DF9" w:rsidP="005454F8">
      <w:pPr>
        <w:pStyle w:val="Ttulo2"/>
        <w:numPr>
          <w:ilvl w:val="0"/>
          <w:numId w:val="26"/>
        </w:numPr>
        <w:spacing w:line="360" w:lineRule="auto"/>
        <w:ind w:left="426" w:hanging="426"/>
        <w:rPr>
          <w:rFonts w:ascii="Palatino Linotype" w:eastAsia="Times New Roman" w:hAnsi="Palatino Linotype"/>
          <w:b/>
          <w:color w:val="000000" w:themeColor="text1"/>
          <w:sz w:val="24"/>
          <w:szCs w:val="24"/>
          <w:lang w:eastAsia="es-MX"/>
        </w:rPr>
      </w:pPr>
      <w:bookmarkStart w:id="5" w:name="_Toc2700378"/>
      <w:r w:rsidRPr="005454F8">
        <w:rPr>
          <w:rFonts w:ascii="Palatino Linotype" w:eastAsia="Times New Roman" w:hAnsi="Palatino Linotype"/>
          <w:b/>
          <w:color w:val="000000" w:themeColor="text1"/>
          <w:sz w:val="24"/>
          <w:szCs w:val="24"/>
          <w:lang w:eastAsia="es-MX"/>
        </w:rPr>
        <w:t>Conclusión.</w:t>
      </w:r>
      <w:bookmarkEnd w:id="5"/>
    </w:p>
    <w:p w:rsidR="003F61EB" w:rsidRPr="003F61EB" w:rsidRDefault="003F61EB" w:rsidP="003F61EB">
      <w:pPr>
        <w:rPr>
          <w:lang w:eastAsia="es-MX"/>
        </w:rPr>
      </w:pPr>
    </w:p>
    <w:p w:rsidR="00261654" w:rsidRDefault="003F61EB" w:rsidP="003F61EB">
      <w:pPr>
        <w:pStyle w:val="Prrafodelista"/>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426" w:hanging="426"/>
        <w:jc w:val="both"/>
        <w:rPr>
          <w:rFonts w:ascii="Palatino Linotype" w:hAnsi="Palatino Linotype" w:cs="Arial"/>
          <w:color w:val="000000" w:themeColor="text1"/>
          <w:lang w:val="es-ES"/>
        </w:rPr>
      </w:pPr>
      <w:r w:rsidRPr="005454F8">
        <w:rPr>
          <w:rFonts w:ascii="Palatino Linotype" w:hAnsi="Palatino Linotype" w:cs="Arial"/>
          <w:color w:val="000000" w:themeColor="text1"/>
          <w:lang w:val="es-ES"/>
        </w:rPr>
        <w:t xml:space="preserve">El </w:t>
      </w:r>
      <w:r w:rsidR="00261654">
        <w:rPr>
          <w:rFonts w:ascii="Palatino Linotype" w:hAnsi="Palatino Linotype" w:cs="Arial"/>
          <w:color w:val="000000" w:themeColor="text1"/>
          <w:lang w:val="es-ES"/>
        </w:rPr>
        <w:t xml:space="preserve">desistimiento que presentó la parte recurrente carece de las formalidades necesarias para </w:t>
      </w:r>
      <w:r w:rsidR="007A1C67">
        <w:rPr>
          <w:rFonts w:ascii="Palatino Linotype" w:hAnsi="Palatino Linotype" w:cs="Arial"/>
          <w:color w:val="000000" w:themeColor="text1"/>
          <w:lang w:val="es-ES"/>
        </w:rPr>
        <w:t xml:space="preserve">determinar la </w:t>
      </w:r>
      <w:r w:rsidR="00261654">
        <w:rPr>
          <w:rFonts w:ascii="Palatino Linotype" w:hAnsi="Palatino Linotype" w:cs="Arial"/>
          <w:color w:val="000000" w:themeColor="text1"/>
          <w:lang w:val="es-ES"/>
        </w:rPr>
        <w:t>extin</w:t>
      </w:r>
      <w:r w:rsidR="007A1C67">
        <w:rPr>
          <w:rFonts w:ascii="Palatino Linotype" w:hAnsi="Palatino Linotype" w:cs="Arial"/>
          <w:color w:val="000000" w:themeColor="text1"/>
          <w:lang w:val="es-ES"/>
        </w:rPr>
        <w:t>ción de</w:t>
      </w:r>
      <w:r w:rsidR="00261654">
        <w:rPr>
          <w:rFonts w:ascii="Palatino Linotype" w:hAnsi="Palatino Linotype" w:cs="Arial"/>
          <w:color w:val="000000" w:themeColor="text1"/>
          <w:lang w:val="es-ES"/>
        </w:rPr>
        <w:t xml:space="preserve"> la sustanciación del procedimiento de acceso a la información, pues en él se plasma el deseo de desistirse de las solicitudes de información,</w:t>
      </w:r>
      <w:r w:rsidR="007A1C67">
        <w:rPr>
          <w:rFonts w:ascii="Palatino Linotype" w:hAnsi="Palatino Linotype" w:cs="Arial"/>
          <w:color w:val="000000" w:themeColor="text1"/>
          <w:lang w:val="es-ES"/>
        </w:rPr>
        <w:t xml:space="preserve"> no así de los recursos de revisión,</w:t>
      </w:r>
      <w:r w:rsidR="00261654">
        <w:rPr>
          <w:rFonts w:ascii="Palatino Linotype" w:hAnsi="Palatino Linotype" w:cs="Arial"/>
          <w:color w:val="000000" w:themeColor="text1"/>
          <w:lang w:val="es-ES"/>
        </w:rPr>
        <w:t xml:space="preserve"> además, va dirigido a una autoridad que carece de facultades para dar trámite a las solicitudes de acceso a la información. En consecuencia, lo idóneo debió ser resolver en cuanto al fondo del asunto.</w:t>
      </w:r>
    </w:p>
    <w:p w:rsidR="003F61EB" w:rsidRDefault="003F61EB" w:rsidP="003F61EB">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color w:val="000000" w:themeColor="text1"/>
          <w:lang w:val="es-ES"/>
        </w:rPr>
      </w:pPr>
    </w:p>
    <w:p w:rsidR="007A1C67" w:rsidRPr="005454F8" w:rsidRDefault="007A1C67"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right="49" w:hanging="426"/>
        <w:jc w:val="both"/>
        <w:rPr>
          <w:rFonts w:ascii="Palatino Linotype" w:eastAsia="Calibri" w:hAnsi="Palatino Linotype" w:cs="Arial"/>
          <w:u w:val="single"/>
          <w:lang w:val="es-ES"/>
        </w:rPr>
      </w:pPr>
    </w:p>
    <w:p w:rsidR="00741350" w:rsidRPr="005454F8" w:rsidRDefault="00741350" w:rsidP="005454F8">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426" w:right="49" w:hanging="426"/>
        <w:jc w:val="both"/>
        <w:rPr>
          <w:rFonts w:ascii="Palatino Linotype" w:eastAsia="Calibri" w:hAnsi="Palatino Linotype" w:cs="Arial"/>
          <w:u w:val="single"/>
          <w:lang w:val="es-ES"/>
        </w:rPr>
      </w:pPr>
    </w:p>
    <w:p w:rsidR="007B70C2" w:rsidRPr="005454F8" w:rsidRDefault="007B70C2" w:rsidP="005454F8">
      <w:pPr>
        <w:spacing w:after="160" w:line="360" w:lineRule="auto"/>
        <w:ind w:left="426" w:hanging="426"/>
        <w:jc w:val="center"/>
        <w:rPr>
          <w:rFonts w:ascii="Palatino Linotype" w:eastAsia="Calibri" w:hAnsi="Palatino Linotype" w:cs="Arial"/>
          <w:b/>
          <w:color w:val="000000" w:themeColor="text1"/>
        </w:rPr>
      </w:pPr>
      <w:r w:rsidRPr="005454F8">
        <w:rPr>
          <w:rFonts w:ascii="Palatino Linotype" w:eastAsia="Calibri" w:hAnsi="Palatino Linotype" w:cs="Arial"/>
          <w:b/>
          <w:color w:val="000000" w:themeColor="text1"/>
        </w:rPr>
        <w:t>JOSÉ GUADALUPE LUNA HERNÁNDEZ</w:t>
      </w:r>
    </w:p>
    <w:p w:rsidR="008B70FB" w:rsidRDefault="007B70C2" w:rsidP="005454F8">
      <w:pPr>
        <w:spacing w:after="160" w:line="360" w:lineRule="auto"/>
        <w:ind w:left="426" w:hanging="426"/>
        <w:jc w:val="center"/>
        <w:rPr>
          <w:rFonts w:ascii="Palatino Linotype" w:eastAsia="Calibri" w:hAnsi="Palatino Linotype" w:cs="Arial"/>
          <w:b/>
          <w:color w:val="000000" w:themeColor="text1"/>
        </w:rPr>
      </w:pPr>
      <w:r w:rsidRPr="005454F8">
        <w:rPr>
          <w:rFonts w:ascii="Palatino Linotype" w:eastAsia="Calibri" w:hAnsi="Palatino Linotype" w:cs="Arial"/>
          <w:b/>
          <w:color w:val="000000" w:themeColor="text1"/>
        </w:rPr>
        <w:t>COMISIONADO</w:t>
      </w:r>
    </w:p>
    <w:p w:rsidR="00344FE4" w:rsidRDefault="00344FE4" w:rsidP="005454F8">
      <w:pPr>
        <w:spacing w:after="160" w:line="360" w:lineRule="auto"/>
        <w:ind w:left="426" w:hanging="426"/>
        <w:rPr>
          <w:rFonts w:ascii="Palatino Linotype" w:eastAsia="Calibri" w:hAnsi="Palatino Linotype" w:cs="Arial"/>
          <w:b/>
          <w:color w:val="000000" w:themeColor="text1"/>
        </w:rPr>
      </w:pPr>
    </w:p>
    <w:p w:rsidR="00C04ABD" w:rsidRPr="005454F8" w:rsidRDefault="00C04ABD" w:rsidP="005454F8">
      <w:pPr>
        <w:spacing w:after="160" w:line="360" w:lineRule="auto"/>
        <w:ind w:left="426" w:hanging="426"/>
        <w:rPr>
          <w:rFonts w:ascii="Palatino Linotype" w:eastAsia="Calibri" w:hAnsi="Palatino Linotype" w:cs="Arial"/>
          <w:b/>
          <w:color w:val="000000" w:themeColor="text1"/>
        </w:rPr>
      </w:pPr>
      <w:r w:rsidRPr="007A1C67">
        <w:rPr>
          <w:rFonts w:ascii="Palatino Linotype" w:eastAsia="Calibri" w:hAnsi="Palatino Linotype" w:cs="Arial"/>
          <w:b/>
          <w:color w:val="000000" w:themeColor="text1"/>
        </w:rPr>
        <w:t>JGLH/ADM.</w:t>
      </w:r>
    </w:p>
    <w:sectPr w:rsidR="00C04ABD" w:rsidRPr="005454F8" w:rsidSect="007631ED">
      <w:headerReference w:type="even" r:id="rId10"/>
      <w:headerReference w:type="default" r:id="rId11"/>
      <w:footerReference w:type="even" r:id="rId12"/>
      <w:footerReference w:type="default" r:id="rId13"/>
      <w:headerReference w:type="first" r:id="rId14"/>
      <w:footerReference w:type="first" r:id="rId15"/>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3F1" w:rsidRDefault="00B953F1" w:rsidP="00ED7332">
      <w:r>
        <w:separator/>
      </w:r>
    </w:p>
  </w:endnote>
  <w:endnote w:type="continuationSeparator" w:id="0">
    <w:p w:rsidR="00B953F1" w:rsidRDefault="00B953F1"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ED578B">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ED578B">
              <w:rPr>
                <w:rFonts w:ascii="Palatino Linotype" w:hAnsi="Palatino Linotype"/>
                <w:b/>
                <w:bCs/>
                <w:noProof/>
                <w:sz w:val="20"/>
                <w:szCs w:val="20"/>
              </w:rPr>
              <w:t>12</w:t>
            </w:r>
            <w:r w:rsidRPr="0052203D">
              <w:rPr>
                <w:rFonts w:ascii="Palatino Linotype" w:hAnsi="Palatino Linotype"/>
                <w:b/>
                <w:bCs/>
                <w:sz w:val="20"/>
                <w:szCs w:val="20"/>
              </w:rPr>
              <w:fldChar w:fldCharType="end"/>
            </w:r>
          </w:p>
        </w:sdtContent>
      </w:sdt>
    </w:sdtContent>
  </w:sdt>
  <w:p w:rsidR="00951E8B" w:rsidRDefault="00ED578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B24" w:rsidRDefault="00074B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3F1" w:rsidRDefault="00B953F1" w:rsidP="00ED7332">
      <w:r>
        <w:separator/>
      </w:r>
    </w:p>
  </w:footnote>
  <w:footnote w:type="continuationSeparator" w:id="0">
    <w:p w:rsidR="00B953F1" w:rsidRDefault="00B953F1" w:rsidP="00ED7332">
      <w:r>
        <w:continuationSeparator/>
      </w:r>
    </w:p>
  </w:footnote>
  <w:footnote w:id="1">
    <w:p w:rsidR="00FC3559" w:rsidRDefault="00FC3559" w:rsidP="00FC3559">
      <w:pPr>
        <w:pStyle w:val="Textonotapie"/>
      </w:pPr>
      <w:r>
        <w:rPr>
          <w:rStyle w:val="Refdenotaalpie"/>
        </w:rPr>
        <w:footnoteRef/>
      </w:r>
      <w:r>
        <w:t xml:space="preserve"> Convención Americana sobre Derechos Humanos. Artículo 13.</w:t>
      </w:r>
    </w:p>
  </w:footnote>
  <w:footnote w:id="2">
    <w:p w:rsidR="00FC3559" w:rsidRDefault="00FC3559" w:rsidP="00FC3559">
      <w:pPr>
        <w:pStyle w:val="Textonotapie"/>
      </w:pPr>
      <w:r>
        <w:rPr>
          <w:rStyle w:val="Refdenotaalpie"/>
        </w:rPr>
        <w:footnoteRef/>
      </w:r>
      <w:r>
        <w:t xml:space="preserve"> Constitución Política de los Estados Unidos Mexicanos. Artículo sexto, sección A, Fracción I.</w:t>
      </w:r>
    </w:p>
  </w:footnote>
  <w:footnote w:id="3">
    <w:p w:rsidR="00FC3559" w:rsidRDefault="00FC3559" w:rsidP="00FC355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C3559" w:rsidRDefault="00FC3559" w:rsidP="00FC3559">
      <w:pPr>
        <w:pStyle w:val="Textonotapie"/>
      </w:pPr>
      <w:r>
        <w:rPr>
          <w:rStyle w:val="Refdenotaalpie"/>
        </w:rPr>
        <w:footnoteRef/>
      </w:r>
      <w:r>
        <w:t xml:space="preserve"> Ibídem. Párr. 87.</w:t>
      </w:r>
    </w:p>
  </w:footnote>
  <w:footnote w:id="5">
    <w:p w:rsidR="00FC3559" w:rsidRDefault="00FC3559" w:rsidP="00FC3559">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578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578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ED578B">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906AC364"/>
    <w:lvl w:ilvl="0" w:tplc="61B24ADA">
      <w:start w:val="1"/>
      <w:numFmt w:val="upperRoman"/>
      <w:pStyle w:val="Ttulo1"/>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2">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3">
    <w:nsid w:val="0AC14804"/>
    <w:multiLevelType w:val="hybridMultilevel"/>
    <w:tmpl w:val="22A0A804"/>
    <w:lvl w:ilvl="0" w:tplc="5C664FFE">
      <w:start w:val="10"/>
      <w:numFmt w:val="decimal"/>
      <w:lvlText w:val="%1"/>
      <w:lvlJc w:val="left"/>
      <w:pPr>
        <w:ind w:left="720" w:hanging="360"/>
      </w:pPr>
      <w:rPr>
        <w:rFonts w:cs="Arial"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CFD03DF"/>
    <w:multiLevelType w:val="hybridMultilevel"/>
    <w:tmpl w:val="A94EB38E"/>
    <w:lvl w:ilvl="0" w:tplc="E9420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3671EE"/>
    <w:multiLevelType w:val="hybridMultilevel"/>
    <w:tmpl w:val="6B3EC10C"/>
    <w:lvl w:ilvl="0" w:tplc="EBD29FE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7">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052CDF"/>
    <w:multiLevelType w:val="hybridMultilevel"/>
    <w:tmpl w:val="4D32F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5">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7">
    <w:nsid w:val="47AC5D89"/>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8">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AA56DAC"/>
    <w:multiLevelType w:val="hybridMultilevel"/>
    <w:tmpl w:val="8C1463A6"/>
    <w:lvl w:ilvl="0" w:tplc="5F2EFD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1">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7202FA"/>
    <w:multiLevelType w:val="hybridMultilevel"/>
    <w:tmpl w:val="B4B88716"/>
    <w:lvl w:ilvl="0" w:tplc="BFAEEAE6">
      <w:start w:val="1"/>
      <w:numFmt w:val="decimal"/>
      <w:lvlText w:val="%1."/>
      <w:lvlJc w:val="left"/>
      <w:pPr>
        <w:ind w:left="36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5A485323"/>
    <w:multiLevelType w:val="hybridMultilevel"/>
    <w:tmpl w:val="BA5CCC08"/>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1"/>
  </w:num>
  <w:num w:numId="3">
    <w:abstractNumId w:val="29"/>
  </w:num>
  <w:num w:numId="4">
    <w:abstractNumId w:val="9"/>
  </w:num>
  <w:num w:numId="5">
    <w:abstractNumId w:val="14"/>
  </w:num>
  <w:num w:numId="6">
    <w:abstractNumId w:val="2"/>
  </w:num>
  <w:num w:numId="7">
    <w:abstractNumId w:val="22"/>
  </w:num>
  <w:num w:numId="8">
    <w:abstractNumId w:val="31"/>
  </w:num>
  <w:num w:numId="9">
    <w:abstractNumId w:val="17"/>
  </w:num>
  <w:num w:numId="10">
    <w:abstractNumId w:val="1"/>
  </w:num>
  <w:num w:numId="11">
    <w:abstractNumId w:val="0"/>
  </w:num>
  <w:num w:numId="12">
    <w:abstractNumId w:val="21"/>
  </w:num>
  <w:num w:numId="13">
    <w:abstractNumId w:val="7"/>
  </w:num>
  <w:num w:numId="14">
    <w:abstractNumId w:val="27"/>
  </w:num>
  <w:num w:numId="15">
    <w:abstractNumId w:val="26"/>
  </w:num>
  <w:num w:numId="16">
    <w:abstractNumId w:val="20"/>
  </w:num>
  <w:num w:numId="17">
    <w:abstractNumId w:val="12"/>
  </w:num>
  <w:num w:numId="18">
    <w:abstractNumId w:val="10"/>
  </w:num>
  <w:num w:numId="19">
    <w:abstractNumId w:val="28"/>
  </w:num>
  <w:num w:numId="20">
    <w:abstractNumId w:val="16"/>
  </w:num>
  <w:num w:numId="21">
    <w:abstractNumId w:val="30"/>
  </w:num>
  <w:num w:numId="22">
    <w:abstractNumId w:val="13"/>
  </w:num>
  <w:num w:numId="23">
    <w:abstractNumId w:val="15"/>
  </w:num>
  <w:num w:numId="24">
    <w:abstractNumId w:val="24"/>
  </w:num>
  <w:num w:numId="25">
    <w:abstractNumId w:val="18"/>
  </w:num>
  <w:num w:numId="26">
    <w:abstractNumId w:val="4"/>
  </w:num>
  <w:num w:numId="27">
    <w:abstractNumId w:val="8"/>
  </w:num>
  <w:num w:numId="28">
    <w:abstractNumId w:val="5"/>
  </w:num>
  <w:num w:numId="29">
    <w:abstractNumId w:val="3"/>
  </w:num>
  <w:num w:numId="30">
    <w:abstractNumId w:val="25"/>
  </w:num>
  <w:num w:numId="31">
    <w:abstractNumId w:val="6"/>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350F9"/>
    <w:rsid w:val="00045EDE"/>
    <w:rsid w:val="000539FF"/>
    <w:rsid w:val="00074B24"/>
    <w:rsid w:val="0009296B"/>
    <w:rsid w:val="00097AD7"/>
    <w:rsid w:val="000B0E25"/>
    <w:rsid w:val="000F1159"/>
    <w:rsid w:val="000F2AC8"/>
    <w:rsid w:val="000F4B66"/>
    <w:rsid w:val="00103510"/>
    <w:rsid w:val="00115126"/>
    <w:rsid w:val="0015416E"/>
    <w:rsid w:val="0016141F"/>
    <w:rsid w:val="00161D60"/>
    <w:rsid w:val="00173575"/>
    <w:rsid w:val="001A2F06"/>
    <w:rsid w:val="001C6C91"/>
    <w:rsid w:val="001E1A93"/>
    <w:rsid w:val="001E2E42"/>
    <w:rsid w:val="001F0577"/>
    <w:rsid w:val="00203272"/>
    <w:rsid w:val="00204F43"/>
    <w:rsid w:val="002252EC"/>
    <w:rsid w:val="00226F1D"/>
    <w:rsid w:val="00230BB9"/>
    <w:rsid w:val="00253251"/>
    <w:rsid w:val="00255331"/>
    <w:rsid w:val="00261654"/>
    <w:rsid w:val="0026502D"/>
    <w:rsid w:val="00274977"/>
    <w:rsid w:val="002813E1"/>
    <w:rsid w:val="00285DC6"/>
    <w:rsid w:val="00290D96"/>
    <w:rsid w:val="002A3A54"/>
    <w:rsid w:val="002B1832"/>
    <w:rsid w:val="002E4EAD"/>
    <w:rsid w:val="002F0112"/>
    <w:rsid w:val="003061F2"/>
    <w:rsid w:val="00313DBF"/>
    <w:rsid w:val="00315F44"/>
    <w:rsid w:val="00324633"/>
    <w:rsid w:val="00344FE4"/>
    <w:rsid w:val="00364D1A"/>
    <w:rsid w:val="00364E7F"/>
    <w:rsid w:val="003672A4"/>
    <w:rsid w:val="00372A62"/>
    <w:rsid w:val="003765B0"/>
    <w:rsid w:val="0038405F"/>
    <w:rsid w:val="003A43CE"/>
    <w:rsid w:val="003C68B6"/>
    <w:rsid w:val="003D1215"/>
    <w:rsid w:val="003D513F"/>
    <w:rsid w:val="003F61EB"/>
    <w:rsid w:val="003F71B7"/>
    <w:rsid w:val="00421FE8"/>
    <w:rsid w:val="004252DB"/>
    <w:rsid w:val="00430106"/>
    <w:rsid w:val="00451B34"/>
    <w:rsid w:val="00482790"/>
    <w:rsid w:val="004915D5"/>
    <w:rsid w:val="004A75D5"/>
    <w:rsid w:val="004C4360"/>
    <w:rsid w:val="004C6549"/>
    <w:rsid w:val="004D1629"/>
    <w:rsid w:val="0050137A"/>
    <w:rsid w:val="00503141"/>
    <w:rsid w:val="0052203D"/>
    <w:rsid w:val="005454F8"/>
    <w:rsid w:val="00557948"/>
    <w:rsid w:val="00562A03"/>
    <w:rsid w:val="00586E51"/>
    <w:rsid w:val="005E7490"/>
    <w:rsid w:val="006067C0"/>
    <w:rsid w:val="00614828"/>
    <w:rsid w:val="00630699"/>
    <w:rsid w:val="00633DCF"/>
    <w:rsid w:val="0063753D"/>
    <w:rsid w:val="00644DC3"/>
    <w:rsid w:val="00651B65"/>
    <w:rsid w:val="00696E58"/>
    <w:rsid w:val="006F2737"/>
    <w:rsid w:val="006F5BE1"/>
    <w:rsid w:val="00711276"/>
    <w:rsid w:val="007226CE"/>
    <w:rsid w:val="00741350"/>
    <w:rsid w:val="00744140"/>
    <w:rsid w:val="007455F7"/>
    <w:rsid w:val="007631ED"/>
    <w:rsid w:val="00763471"/>
    <w:rsid w:val="00774A7F"/>
    <w:rsid w:val="0077794D"/>
    <w:rsid w:val="007A1C67"/>
    <w:rsid w:val="007A4E77"/>
    <w:rsid w:val="007A6A25"/>
    <w:rsid w:val="007A76AC"/>
    <w:rsid w:val="007B194A"/>
    <w:rsid w:val="007B1C16"/>
    <w:rsid w:val="007B70C2"/>
    <w:rsid w:val="0082349F"/>
    <w:rsid w:val="00835B3B"/>
    <w:rsid w:val="00876E43"/>
    <w:rsid w:val="00880EB4"/>
    <w:rsid w:val="008A78F1"/>
    <w:rsid w:val="008B29B7"/>
    <w:rsid w:val="008B70FB"/>
    <w:rsid w:val="008B7D1A"/>
    <w:rsid w:val="008C3561"/>
    <w:rsid w:val="008F1F4E"/>
    <w:rsid w:val="008F7432"/>
    <w:rsid w:val="00952EB7"/>
    <w:rsid w:val="0097464F"/>
    <w:rsid w:val="0098672E"/>
    <w:rsid w:val="0099042C"/>
    <w:rsid w:val="009D5E66"/>
    <w:rsid w:val="009E7D34"/>
    <w:rsid w:val="00A67500"/>
    <w:rsid w:val="00AE112C"/>
    <w:rsid w:val="00AE1FD6"/>
    <w:rsid w:val="00B06084"/>
    <w:rsid w:val="00B079D3"/>
    <w:rsid w:val="00B305DB"/>
    <w:rsid w:val="00B35501"/>
    <w:rsid w:val="00B470BE"/>
    <w:rsid w:val="00B628EA"/>
    <w:rsid w:val="00B82DF9"/>
    <w:rsid w:val="00B847C6"/>
    <w:rsid w:val="00B953F1"/>
    <w:rsid w:val="00BA7541"/>
    <w:rsid w:val="00BC23A5"/>
    <w:rsid w:val="00C04ABD"/>
    <w:rsid w:val="00C36B1F"/>
    <w:rsid w:val="00C64CFF"/>
    <w:rsid w:val="00C7087D"/>
    <w:rsid w:val="00C74DDE"/>
    <w:rsid w:val="00C8234C"/>
    <w:rsid w:val="00C87E9E"/>
    <w:rsid w:val="00CB3643"/>
    <w:rsid w:val="00CD3F2D"/>
    <w:rsid w:val="00CE058D"/>
    <w:rsid w:val="00D075E8"/>
    <w:rsid w:val="00D212CB"/>
    <w:rsid w:val="00D349C5"/>
    <w:rsid w:val="00D37C48"/>
    <w:rsid w:val="00D420C4"/>
    <w:rsid w:val="00D52F52"/>
    <w:rsid w:val="00D570BC"/>
    <w:rsid w:val="00D66330"/>
    <w:rsid w:val="00DB1F6A"/>
    <w:rsid w:val="00DB5AF7"/>
    <w:rsid w:val="00DE28AC"/>
    <w:rsid w:val="00E043DE"/>
    <w:rsid w:val="00E12C1D"/>
    <w:rsid w:val="00E4540E"/>
    <w:rsid w:val="00E60C19"/>
    <w:rsid w:val="00E67744"/>
    <w:rsid w:val="00E80889"/>
    <w:rsid w:val="00E80BF1"/>
    <w:rsid w:val="00EA4216"/>
    <w:rsid w:val="00EA644A"/>
    <w:rsid w:val="00EB46CE"/>
    <w:rsid w:val="00ED5776"/>
    <w:rsid w:val="00ED578B"/>
    <w:rsid w:val="00ED7332"/>
    <w:rsid w:val="00EE3F52"/>
    <w:rsid w:val="00EF4D4D"/>
    <w:rsid w:val="00F15D14"/>
    <w:rsid w:val="00F32529"/>
    <w:rsid w:val="00F3413E"/>
    <w:rsid w:val="00F54ED8"/>
    <w:rsid w:val="00F71FF7"/>
    <w:rsid w:val="00F73EA1"/>
    <w:rsid w:val="00F75AE7"/>
    <w:rsid w:val="00F77503"/>
    <w:rsid w:val="00F857FC"/>
    <w:rsid w:val="00F96A13"/>
    <w:rsid w:val="00FB534E"/>
    <w:rsid w:val="00FC0B18"/>
    <w:rsid w:val="00FC3559"/>
    <w:rsid w:val="00FE74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8B29B7"/>
    <w:pPr>
      <w:keepNext/>
      <w:keepLines/>
      <w:numPr>
        <w:numId w:val="11"/>
      </w:numPr>
      <w:spacing w:before="240"/>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8B29B7"/>
    <w:rPr>
      <w:rFonts w:ascii="Palatino Linotype" w:eastAsiaTheme="majorEastAsia" w:hAnsi="Palatino Linotype" w:cstheme="majorBidi"/>
      <w:b/>
      <w:sz w:val="24"/>
      <w:szCs w:val="32"/>
      <w:bdr w:val="nil"/>
    </w:rPr>
  </w:style>
  <w:style w:type="paragraph" w:styleId="TtulodeTDC">
    <w:name w:val="TOC Heading"/>
    <w:basedOn w:val="Ttulo1"/>
    <w:next w:val="Normal"/>
    <w:uiPriority w:val="39"/>
    <w:unhideWhenUsed/>
    <w:qFormat/>
    <w:rsid w:val="008B29B7"/>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8B29B7"/>
    <w:pPr>
      <w:tabs>
        <w:tab w:val="left" w:pos="660"/>
        <w:tab w:val="right" w:leader="dot" w:pos="8828"/>
      </w:tabs>
      <w:spacing w:after="100" w:line="360" w:lineRule="auto"/>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EB46CE"/>
    <w:pPr>
      <w:tabs>
        <w:tab w:val="right" w:leader="dot" w:pos="8828"/>
      </w:tabs>
      <w:spacing w:after="100" w:line="360" w:lineRule="auto"/>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99CC4-17DA-43AF-BC74-24A163A6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1977</Words>
  <Characters>10878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2019-03-05T23:58:00Z</cp:lastPrinted>
  <dcterms:created xsi:type="dcterms:W3CDTF">2019-03-15T17:21:00Z</dcterms:created>
  <dcterms:modified xsi:type="dcterms:W3CDTF">2019-03-29T18:22:00Z</dcterms:modified>
</cp:coreProperties>
</file>